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determining the student enrollment of a public school that allows non-enrolled students to participate in University Interscholastic League activities for purposes of assigning a University Interscholastic League classification.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33.0832, Education Code, as added by Chapter 996 (H.B. 547), Acts of the 87th Legislature, Regular Session, 2021,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assigning league classification to a public school  based on student enrollment, the league must use the same student enrollment calculation formula for a school that allows a non-enrolled student to participate in a league activity as provided by Subsection (c) as the formula used to determine the student enrollment of a school that does not allow a non-enrolled student to participate in the league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