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Frank, et al.</w:t>
      </w:r>
      <w:r>
        <w:t xml:space="preserve"> (Senate Sponsor</w:t>
      </w:r>
      <w:r xml:space="preserve">
        <w:t> </w:t>
      </w:r>
      <w:r>
        <w:t xml:space="preserve">-</w:t>
      </w:r>
      <w:r xml:space="preserve">
        <w:t> </w:t>
      </w:r>
      <w:r>
        <w:t xml:space="preserve">Kolkhorst)</w:t>
      </w:r>
      <w:r xml:space="preserve">
        <w:tab wTab="150" tlc="none" cTlc="0"/>
      </w:r>
      <w:r>
        <w:t xml:space="preserve">H.B.</w:t>
      </w:r>
      <w:r xml:space="preserve">
        <w:t> </w:t>
      </w:r>
      <w:r>
        <w:t xml:space="preserve">No.</w:t>
      </w:r>
      <w:r xml:space="preserve">
        <w:t> </w:t>
      </w:r>
      <w:r>
        <w:t xml:space="preserve">711</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26,</w:t>
      </w:r>
      <w:r xml:space="preserve">
        <w:t> </w:t>
      </w:r>
      <w:r>
        <w:t xml:space="preserve">2023; April</w:t>
      </w:r>
      <w:r xml:space="preserve">
        <w:t> </w:t>
      </w:r>
      <w:r>
        <w:t xml:space="preserve">26,</w:t>
      </w:r>
      <w:r xml:space="preserve">
        <w:t> </w:t>
      </w:r>
      <w:r>
        <w:t xml:space="preserve">2023, read first time and referred to Committee on Health &amp; Human Services; May</w:t>
      </w:r>
      <w:r xml:space="preserve">
        <w:t> </w:t>
      </w:r>
      <w:r>
        <w:t xml:space="preserve">11,</w:t>
      </w:r>
      <w:r xml:space="preserve">
        <w:t> </w:t>
      </w:r>
      <w:r>
        <w:t xml:space="preserve">2023, reported favorably by the following vote:</w:t>
      </w:r>
      <w:r>
        <w:t xml:space="preserve"> </w:t>
      </w:r>
      <w:r>
        <w:t xml:space="preserve"> </w:t>
      </w:r>
      <w:r>
        <w:t xml:space="preserve">Yeas 9, Nays 0; May</w:t>
      </w:r>
      <w:r xml:space="preserve">
        <w:t> </w:t>
      </w:r>
      <w:r>
        <w:t xml:space="preserve">11,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certain contract provisions and conduct affecting health care provider networks.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1458.001, Insurance Code, is amended by adding Subdivisions (1-a), (1-b), (4-a), (4-b), and (5-a) to read as follows:</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"Anti-steering clause" means a provision in a provider network contract that restricts the ability of a general contracting entity to encourage an enrollee to obtain a health care service from a competitor of the provider, including offering incentives to encourage enrollees to use specific providers.</w:t>
      </w:r>
    </w:p>
    <w:p w:rsidR="003F3435" w:rsidRDefault="0032493E">
      <w:pPr>
        <w:spacing w:line="480" w:lineRule="auto"/>
        <w:ind w:firstLine="1440"/>
        <w:jc w:val="both"/>
      </w:pPr>
      <w:r>
        <w:rPr>
          <w:u w:val="single"/>
        </w:rPr>
        <w:t xml:space="preserve">(1-b)</w:t>
      </w:r>
      <w:r>
        <w:rPr>
          <w:u w:val="single"/>
        </w:rPr>
        <w:t xml:space="preserve"> </w:t>
      </w:r>
      <w:r>
        <w:rPr>
          <w:u w:val="single"/>
        </w:rPr>
        <w:t xml:space="preserve"> </w:t>
      </w:r>
      <w:r>
        <w:rPr>
          <w:u w:val="single"/>
        </w:rPr>
        <w:t xml:space="preserve">"Anti-tiering clause" means a provision in a provider network contract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restricts the ability of a general contracting entity to introduce or modify a tiered network plan or assign providers into tiers;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requires a general contracting entity to place all members of a provider in the same tier of a tiered network plan.</w:t>
      </w:r>
    </w:p>
    <w:p w:rsidR="003F3435" w:rsidRDefault="0032493E">
      <w:pPr>
        <w:spacing w:line="480" w:lineRule="auto"/>
        <w:ind w:firstLine="1440"/>
        <w:jc w:val="both"/>
      </w:pPr>
      <w:r>
        <w:rPr>
          <w:u w:val="single"/>
        </w:rPr>
        <w:t xml:space="preserve">(4-a)</w:t>
      </w:r>
      <w:r>
        <w:rPr>
          <w:u w:val="single"/>
        </w:rPr>
        <w:t xml:space="preserve"> </w:t>
      </w:r>
      <w:r>
        <w:rPr>
          <w:u w:val="single"/>
        </w:rPr>
        <w:t xml:space="preserve"> </w:t>
      </w:r>
      <w:r>
        <w:rPr>
          <w:u w:val="single"/>
        </w:rPr>
        <w:t xml:space="preserve">"Gag clause" means a provision in a provider network contract that restricts the ability of a general contracting entity or provider to disclose: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price or quality information, including the allowed amount, negotiated rates or discounts, fees for services, or other claim-related financial obligations included in the contract, to a governmental entity as authorized by law or its contractors or agents, an enrollee, a treating provider of an enrollee, a plan sponsor, or potential eligible enrollees and plan sponsors;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out-of-pocket costs to an enrollee.</w:t>
      </w:r>
    </w:p>
    <w:p w:rsidR="003F3435" w:rsidRDefault="0032493E">
      <w:pPr>
        <w:spacing w:line="480" w:lineRule="auto"/>
        <w:ind w:firstLine="1440"/>
        <w:jc w:val="both"/>
      </w:pPr>
      <w:r>
        <w:rPr>
          <w:u w:val="single"/>
        </w:rPr>
        <w:t xml:space="preserve">(4-b)</w:t>
      </w:r>
      <w:r>
        <w:rPr>
          <w:u w:val="single"/>
        </w:rPr>
        <w:t xml:space="preserve"> </w:t>
      </w:r>
      <w:r>
        <w:rPr>
          <w:u w:val="single"/>
        </w:rPr>
        <w:t xml:space="preserve"> </w:t>
      </w:r>
      <w:r>
        <w:rPr>
          <w:u w:val="single"/>
        </w:rPr>
        <w:t xml:space="preserve">"General contracting entity" means a person who enters into a direct contract with a provider for the delivery of health care services to covered individuals regardless of whether the person, in the ordinary course of business, establishes a provider network for access by another party. </w:t>
      </w:r>
      <w:r>
        <w:rPr>
          <w:u w:val="single"/>
        </w:rPr>
        <w:t xml:space="preserve"> </w:t>
      </w:r>
      <w:r>
        <w:rPr>
          <w:u w:val="single"/>
        </w:rPr>
        <w:t xml:space="preserve">The term does not include a health care provider or facility unless the provider or facility is entering into the contract in the provider's or facility's role as a health benefit plan.</w:t>
      </w:r>
    </w:p>
    <w:p w:rsidR="003F3435" w:rsidRDefault="0032493E">
      <w:pPr>
        <w:spacing w:line="480" w:lineRule="auto"/>
        <w:ind w:firstLine="1440"/>
        <w:jc w:val="both"/>
      </w:pPr>
      <w:r>
        <w:rPr>
          <w:u w:val="single"/>
        </w:rPr>
        <w:t xml:space="preserve">(5-a)</w:t>
      </w:r>
      <w:r>
        <w:rPr>
          <w:u w:val="single"/>
        </w:rPr>
        <w:t xml:space="preserve"> </w:t>
      </w:r>
      <w:r>
        <w:rPr>
          <w:u w:val="single"/>
        </w:rPr>
        <w:t xml:space="preserve"> </w:t>
      </w:r>
      <w:r>
        <w:rPr>
          <w:u w:val="single"/>
        </w:rPr>
        <w:t xml:space="preserve">"Most favored nation clause" means a provision in a provider network contract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prohibits or grants an option to prohibit: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provider from contracting with another general contracting entity to provide health care services at a lower rate;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general contracting entity from contracting with another provider to provide health care services at a higher rate;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requires or grants an option to require: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provider to accept a lower rate for health care services if the provider agrees with another general contracting entity to accept a lower rate for the services;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general contracting entity to pay a higher rate for health care services if the entity agrees with another provider to pay a higher rate for the services;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requires or grants an option to require termination or renegotiation of an existing provider network contract if: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provider agrees with another general contracting entity to accept a lower rate for providing health care services;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general contracting entity agrees with a provider to pay a higher rate for health care services;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requires: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provider to disclose the provider's contractual reimbursement rates with other general contracting entities;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general contracting entity to disclose the general contracting entity's contractual reimbursement rates with other providers.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1458.101, Insurance Code, is amended by adding Subsections (g), (h), and (i)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provider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offer to a general contracting entity a written provider network contract that includes an anti-steering, anti-tiering, gag, or most favored nation clause;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enter into a provider network contract that includes an anti-steering, anti-tiering, gag, or most favored nation clause;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amend or renew an existing provider network contract previously entered into with a general contracting entity so that the contract as amended or renewed adds or retains an anti-steering, anti-tiering, gag, or most favored nation clause.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provision in a provider network contract that is an anti-steering, anti-tiering, gag, or most favored nation clause is void and unenforceable.  The remaining provisions in the provider network contract remain in effect and are enforceable.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health benefit plan issuer that encourages an enrollee to obtain a health care service from a particular provider, including offering incentives to encourage enrollees to use specific providers, or that introduces or modifies a tiered network plan or assigns providers into tiers has a fiduciary duty to the enrollee or policyholder to engage in that conduct only for the primary benefit of the enrollee or policyholder.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