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720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therapy or facility dogs to accompany a child or a person with a disability during testimony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38.077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38.077.</w:t>
      </w:r>
      <w:r>
        <w:rPr>
          <w:u w:val="single"/>
        </w:rPr>
        <w:t xml:space="preserve"> </w:t>
      </w:r>
      <w:r>
        <w:rPr>
          <w:u w:val="single"/>
        </w:rPr>
        <w:t xml:space="preserve"> </w:t>
      </w:r>
      <w:r>
        <w:rPr>
          <w:u w:val="single"/>
        </w:rPr>
        <w:t xml:space="preserve">TESTIMONY OF CHILD OR PERSON WITH DISABILITY; AUTHORIZING THERAPY OR FACILITY DOGS FOR CERTAIN CRIMINAL PROCEEDINGS.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dog organization" means an organization that is an accredited member of Assistance Dogs International or a similar nonprofit organization that grants accreditation to an organization based on the organization's adherence to standards of excellence in assistance dog acquisition, training, and placement.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means a person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dog" means a dog that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a training program that is provided by an assistance dog organization on providing emotional comfort in a high-stress environment for the purpose of enhancing a witness's ability to speak during a judicial hearing or proceeding and reducing the witness's stress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passed the Assistance Dogs International Public Access Certification Test, or a test having standards substantially similar to the standards of the Assistance Dogs International Public Access Certification Test in effect on September 1, 2023.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"Handler" means a person who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training on offering an animal for assistance purposes that is provided by an assistance dog organization or Alliance of Therapy Dogs or a similar nonprofit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additional training regarding policies and protocols of the court and the responsibilities of a courtroom dog handler.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 with a disability" means a person with one or more documented physical or mental impairments, or who is regarded as having one or more physical or mental impairments, that substantially limit the person's ability to perform major life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"Therapy dog" means a dog that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completed training, certification, or evaluation on providing emotional support therapy in public settings, including hospitals, nursing homes, and schools, that is provided by the American Kennel Club, Alliance of Therapy Dogs, or a similar nonprofit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performing duties related to providing emotional support therapy for not less than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the testimony of a witness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 disability in any hearing or proceeding in the prosecution of an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in any hearing or proceeding in the prosecution of an offense under any of the following provisions: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481, Health and Safety Code (Texas Controlled Substances Act), if the offense was committed under Section 481.122 (Offense: Delivery of Controlled Substance or Marihuana to Child) or the penalty for the offense may be increased under Section 481.1122 (Manufacture of Substance in Penalty Group 1: Presence of Child) or 481.140 (Use of Child in Commission of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Title 5, Penal Code (Offenses Against the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25.02, Penal Code (Prohibited Sexual Conduct);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25.11, Penal Code (Continuous Violence Against the Family);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28.02, Penal Code (Arson);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Chapter 29, Penal Code (Robbery);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30.02, Penal Code (Burglary), if the offense is punishable under Subsection (d) of that section;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31.03, Penal Code (Theft), if the offense is punishable under Subsection (e)(4)(C) of that section;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36.06, Penal Code (Obstruction or Retaliation);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43.05, Penal Code (Compelling Prostitution);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43.25, Penal Code (Sexual Performance by a Child);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15.01 (Criminal Attempt) or 15.02 (Criminal Conspiracy), Penal Code, if the actor intended to commit an offense described by Paragraph (A), (B), (C), (D), (E), (F), (G), (H), (I), (J), or (K).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any party, or a parent, managing conservator, guardian, guardian ad litem of a child or a person with a disability, or special advocate for a child, the court may allow a witness who is a child or a person with a disability to have a therapy or facility dog accompany the witness during that witness's testimony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therapy or facility dog is available to the party within the judicial district in which the court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finds by a preponderance of the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therapy or facility dog and the dog's handler are suitably qualified and will reasonably assist the witness;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granting the motion is not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prejudice the trier of fact in evaluating the witness' testimony;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 undue disruption to the hearing or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motion under Subsection (c)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training or credentials of the therapy or facility dog;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training of the dog's handler;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the presence of the therapy or facility dog may reduce the anxiety of or otherwise be helpful to the witness.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take appropriate measures to ensure the presence of a therapy or facility dog is as unobtrusive and nondisruptive as possible, including requiring the dog's handler to accompany the dog in the courtroom at all times.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therapy or facility dog is used during a jury trial, on request of any party, the court shall provide appropriate instruction to the jury regarding the presence of the dog and the dog's handler to prevent prejudice for or against any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article does not prevent the court from removing or excluding a therapy or facility dog from the courtroom to maintain order or ensure the fair presentation of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criminal proceeding that commences on or after the effective date of this Act.  A criminal proceeding that commences before the effective date of this Act is governed by the law in effect when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