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88R1533 KKR-F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statewide interagency aging services coordinating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531, Government Code, is amended by adding Subchapter M-2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M-2.  STATEWIDE INTERAGENCY AGING SERVICES COORDINATING COUNCIL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"council" means the statewide interagency aging services coordinating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PURPOSE.  The council is established to ensure a strategic statewide approach to interagency aging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COMPOSITION OF COUNCIL.  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the council is composed of at least one representative designated by each of the following agencies and entities: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governor's office;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commission, including one representative of the commission's aging services coordination office;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State Health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Agriculture's office of rural health;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Veterans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Workforce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of the attorney general;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Barshop Institute for Longevity and Aging Studies at The University of Texas Health Science Center at San Antonio;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Aging and Longevity Center at The University of Texas at Austin;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Center for Population Health and Aging at Texas A&amp;M University.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determine the number of representatives that each agency or entity may designate to serve on the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may authorize another state agency or entity that provides specific interagency aging services with the use of appropriated money to designate a representative to the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council member serves at the pleasure of the designating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PRESIDING OFFICER.  The representative of the commission's aging services coordination office designated under Section 531.493(a) shall serve as the presiding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MEETINGS.  The council shall meet at least once quarterly or more frequently at the call of the presiding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POWERS AND DUTIES.  The council: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develop and submit to the executive commissioner a five-year statewide interagency aging services strategic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develop a biennial coordinated statewide interagency aging services expenditure proposal;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annually publish an updated inventory of state-funded interagency aging programs and services that includes a description of how those programs and services further the purpose of the statewide interagency aging services strategic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facilitate opportunities to increase collaboration for the effective expenditure of available federal and state money for interagency aging services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establish subcommittees as necessary to carry out the council's duties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