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88R1009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739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provisions applicable to affordable housing located in a reinvestment zone in certain areas of the state;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311.003, Tax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adopting an ordinance designating a reinvestment zone described by Section 311.0112, a municipality must prepare or have prepared an affordable housing impact statement.  The statement must be made available to the public and posted on the municipality's Internet website on or before the 60th day before the date the municipality holds the hearing required under Subsection (c).  The statement must include estimates of the impact on the availability of affordable housing in the area of the proposed zone for the 30-year period following designation of the proposed zone.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311.006(e), Tax Code, is amended to read as follows:</w:t>
      </w:r>
    </w:p>
    <w:p w:rsidR="003F3435" w:rsidRDefault="0032493E">
      <w:pPr>
        <w:spacing w:line="480" w:lineRule="auto"/>
        <w:ind w:firstLine="720"/>
        <w:jc w:val="both"/>
      </w:pPr>
      <w:r>
        <w:t xml:space="preserve">(e)</w:t>
      </w:r>
      <w:r xml:space="preserve">
        <w:t> </w:t>
      </w:r>
      <w:r xml:space="preserve">
        <w:t> </w:t>
      </w:r>
      <w:r>
        <w:t xml:space="preserve">Subsection (a)(1) does not apply to a reinvestment zone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designated under Section 311.005(a)(4)</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described by Section 311.0112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311, Tax Code, is amended by adding Section 311.0112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311.0112.</w:t>
      </w:r>
      <w:r>
        <w:rPr>
          <w:u w:val="single"/>
        </w:rPr>
        <w:t xml:space="preserve"> </w:t>
      </w:r>
      <w:r>
        <w:rPr>
          <w:u w:val="single"/>
        </w:rPr>
        <w:t xml:space="preserve"> </w:t>
      </w:r>
      <w:r>
        <w:rPr>
          <w:u w:val="single"/>
        </w:rPr>
        <w:t xml:space="preserve">PROVISIONS APPLICABLE IN CERTAIN ZONES.  (a)  This section applies only to a reinvestment zone: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designated by a municipality: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population of 1.18 million or more;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located predominantly in a county that has a total area of less than 1,000 square miles;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part of which is located in an area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fewer than 75,000 residents;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contiguous to a central business district;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composed of census tracts: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form a spatially compact area;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each of which the median family income is at or below 80 percent of the area median family income, adjusted for household size, as determined annually by the United States Department of Housing and Urban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an area adjacent to a reinvestment zone means any area within two miles of the zone's boundaries in any direction that is not located within the boundaries of another reinvestment zone.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at least 20 percent of the revenue from the tax increment fund of the reinvestment zone spent annually must be for the development, construction, and preservation of affordable housing in the zone and in the area adjacent to the zone.  Of that amount: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75 percent must be spent to benefit families that have a yearly income at or below 80 percent of the area median family income, adjusted for household size, as determined annually by the United States Department of Housing and Urban Development;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more than 10 percent may be used to pay administrative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if the use of the revenue in the tax increment fund in the manner required by that subsection would materially impair the security for bonds or notes issued under Section 311.015 before September 1, 2023.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project or reinvestment zone financing plan for a reinvestment zone that is approved or amended on or after September 1, 2023, must require the developer of a residential housing development located in the zone and funded wholly or partly with money from the tax increment fund for the zone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Subsection (f), set aside at least 20 percent of the planned dwelling units in each residential housing development as affordable housing with an affordability period of at least 40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contract with the municipality that designated the zone to pay the costs of relocating residents of the zone and the area adjacent to the zone who are displaced as a direct result of the residential housing development.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As an alternative to the set-aside requirement under Subsection (e)(1), the municipality that designated the reinvestment zone may allow a developer to pay a fee to the municipality.  The amount of the fee is determined by the municipality.  The municipality shall deposit the fee in an affordable housing fund administered by the governing body of the municipality.  Money in the fund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subsidize the cost to the municipality of tax abatement agreements entered into under Section 311.0125 with the owners of real property located in the zone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real property subject to the tax abatement agreement is the owner's residence homestead;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owner, at the time the tax abatement agreement is entered into, has: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resided in the zone for 10 or more years;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yearly income at or below 80 percent of the median family income in the zone, adjusted for household size, as determined annually by the United States Department of Housing and Urban Development;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to a qualified for-profit entity or a nonprofit entity for the purpose of developing, constructing, or preserving affordable housing in the zone and in the area adjacent to the zone for families that have a yearly income at or below 80 percent of the area median family income, adjusted for household size, as determined annually by the United States Department of Housing and Urban Development.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 311.0125(b) does not apply to a tax abatement agreement described by Subsection (f)(1).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 project or reinvestment zone financing plan for a reinvestment zone that is approved or amended on or after September 1, 2023, shall provide that when money is spent from the tax increment fund for the zone for the purpose of making infrastructure improvements in the zone, a proportionate amount of money in the fund equal to not more than 20 percent of that amount must be spent from the fund to provide necessary infrastructure improvements in the area adjacent to the zone.  The plan shall provide that the governing body of the municipality that designated the zone determines: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proportionate amount to be spent in the area adjacent to the zone, subject to the limitation provided by this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infrastructure improvements that are necessary in the area adjacent to the zone.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Section 1.04(7), in determining the market value of a residence homestead that is more than 30 years old and located in a reinvestment zone or in the area adjacent to the zone, the chief appraiser for the appraisal district in which the property is located may exclude from consideration the value of new or substantially remodeled residential properties that are located in the same neighborhood as the residence homestead being appraised and that would otherwise be considered in appraising the residence homestead.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municipality that designated the reinvestment zone has adopted minimum habitability standards for residential housing units in the municipality, the municipality shall develop and adopt a plan to provide for the relocation of tenants displaced as a result of the enforcement of those standards.  The plan must provide that the municipality may use any penalties received from the owner of the housing unit from which tenants were displaced to pay the tenant's relocation costs.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311.016,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information required under Subsection (a), the annual report for a reinvestment zone described by Section 311.0112 must include the following information, specific to each neighborhood located in the zone: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detailed explanation of each expenditure from the tax increment fund established by the zone for affordable housing in the neighborhood;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analysis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effect of each expenditure from the fund on the availability of affordable housing in the neighborhood;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any expenditure from the fund had a disparate impact on minority or low-income neighborhood residents.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