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88R843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property owned by a charitable organization and used to provide child-care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child-care services without regard to the beneficiaries' ability to pay, if the provider of the services meets Texas Rising Star Program certification criteria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