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753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removing criminal penalties for the possession of drug paraphernalia under the Texas Controlled Substances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481.125, Health and Safety Code, is amended to read as follows:</w:t>
      </w:r>
    </w:p>
    <w:p w:rsidR="003F3435" w:rsidRDefault="0032493E">
      <w:pPr>
        <w:spacing w:line="480" w:lineRule="auto"/>
        <w:ind w:firstLine="720"/>
        <w:jc w:val="both"/>
      </w:pPr>
      <w:r>
        <w:t xml:space="preserve">Sec.</w:t>
      </w:r>
      <w:r xml:space="preserve">
        <w:t> </w:t>
      </w:r>
      <w:r>
        <w:t xml:space="preserve">481.125.</w:t>
      </w:r>
      <w:r xml:space="preserve">
        <w:t> </w:t>
      </w:r>
      <w:r xml:space="preserve">
        <w:t> </w:t>
      </w:r>
      <w:r>
        <w:t xml:space="preserve">OFFENSE: [</w:t>
      </w:r>
      <w:r>
        <w:rPr>
          <w:strike/>
        </w:rPr>
        <w:t xml:space="preserve">POSSESSION OR</w:t>
      </w:r>
      <w:r>
        <w:t xml:space="preserve">] DELIVERY OF DRUG PARAPHERNALIA.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481.125(a), (d), (g), and (h), Health and Safety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481.1161(b)(1) or (2), 481.117(b), 481.118(b), or 481.121(b)(1) or (2),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481.1161(c), 481.117(f), 481.118(f), 481.119(c),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481.1161(b)(1) or (2), 481.117(b), 481.118(b), or 481.121(b)(1) or (2),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481.1161(b)(1) or (2), 481.117(b), 481.118(b), or 481.121(b)(1) or (2),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481.1161(c), 481.117(f), 481.118(f), 481.119(c),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481.117(b), 481.118(b), or 481.121(b)(1) or (2),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w:t>
      </w:r>
      <w:r>
        <w:t xml:space="preserve">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481.118(b), or 481.121(b)(1) or (2),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or 481.121(b)(1) or (2),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or (2), or an offense under Section [</w:t>
      </w:r>
      <w:r>
        <w:rPr>
          <w:strike/>
        </w:rPr>
        <w:t xml:space="preserve">481.125(a),</w:t>
      </w:r>
      <w:r>
        <w:t xml:space="preserve">] 483.041(a)[</w:t>
      </w:r>
      <w:r>
        <w:rPr>
          <w:strike/>
        </w:rPr>
        <w:t xml:space="preserve">,</w:t>
      </w:r>
      <w:r>
        <w:t xml:space="preserve">]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481.121(c),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or 481.118(b),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w:t>
      </w:r>
      <w:r>
        <w:rPr>
          <w:strike/>
        </w:rPr>
        <w:t xml:space="preserve">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w:t>
      </w:r>
      <w:r>
        <w:rPr>
          <w:strike/>
        </w:rPr>
        <w:t xml:space="preserve">, 481.125(a),</w:t>
      </w:r>
      <w:r>
        <w:t xml:space="preserve">]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w:t>
      </w:r>
      <w:r>
        <w:rPr>
          <w:strike/>
        </w:rPr>
        <w:t xml:space="preserve">481.125(g),</w:t>
      </w:r>
      <w:r>
        <w:t xml:space="preserv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w:t>
      </w:r>
      <w:r>
        <w:rPr>
          <w:strike/>
        </w:rPr>
        <w:t xml:space="preserve">, 481.125(a),</w:t>
      </w:r>
      <w:r>
        <w:t xml:space="preserve">]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w:t>
      </w:r>
      <w:r>
        <w:rPr>
          <w:strike/>
        </w:rPr>
        <w:t xml:space="preserve">481.125(g),</w:t>
      </w:r>
      <w:r>
        <w:t xml:space="preserve">]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 in law made by this Act applies to conduct that occurs before, on, or after the effective date of this Act, except that a final conviction for an offense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