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88R3898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entry into the Texas Crime Information Center of certain information regarding conditions of bond for stalking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17.50, Code of Criminal Procedure, is amended to read as follows:</w:t>
      </w:r>
    </w:p>
    <w:p w:rsidR="003F3435" w:rsidRDefault="0032493E">
      <w:pPr>
        <w:spacing w:line="480" w:lineRule="auto"/>
        <w:ind w:firstLine="720"/>
        <w:jc w:val="both"/>
      </w:pPr>
      <w:r>
        <w:t xml:space="preserve">Art.</w:t>
      </w:r>
      <w:r xml:space="preserve">
        <w:t> </w:t>
      </w:r>
      <w:r>
        <w:t xml:space="preserve">17.50.</w:t>
      </w:r>
      <w:r xml:space="preserve">
        <w:t> </w:t>
      </w:r>
      <w:r xml:space="preserve">
        <w:t> </w:t>
      </w:r>
      <w:r>
        <w:t xml:space="preserve">ENTRY INTO TEXAS CRIME INFORMATION CENTER OF CERTAIN INFORMATION IN CASES INVOLVING VIOLENT OFFENSES </w:t>
      </w:r>
      <w:r>
        <w:rPr>
          <w:u w:val="single"/>
        </w:rPr>
        <w:t xml:space="preserve">OR STALKING</w:t>
      </w:r>
      <w:r>
        <w:t xml:space="preserve">; DUTIES OF MAGISTRATES, SHERIFFS, AND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17.50(b) and (f),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w:t>
      </w:r>
      <w:r>
        <w:rPr>
          <w:u w:val="single"/>
        </w:rPr>
        <w:t xml:space="preserve">or an offense under Section 42.072, Penal Code</w:t>
      </w:r>
      <w:r>
        <w:t xml:space="preserv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411.042(b)(6),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w:t>
      </w:r>
      <w:r>
        <w:rPr>
          <w:u w:val="single"/>
        </w:rPr>
        <w:t xml:space="preserve">or an offense under Section 42.072, Penal Code</w:t>
      </w:r>
      <w:r>
        <w:t xml:space="preserv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17.50, Code of Criminal Procedure, as amended by this Act, applies only to condition of bond imposed on or after the effective date of this Act. A condition of bond imposed before the effective date of this Act is governed by the law in effect on the date the condition was imposed,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