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Harless</w:t>
      </w:r>
      <w:r>
        <w:t xml:space="preserve"> (Senate Sponsor</w:t>
      </w:r>
      <w:r xml:space="preserve">
        <w:t> </w:t>
      </w:r>
      <w:r>
        <w:t xml:space="preserve">-</w:t>
      </w:r>
      <w:r xml:space="preserve">
        <w:t> </w:t>
      </w:r>
      <w:r>
        <w:t xml:space="preserve">Kolkhorst)</w:t>
      </w:r>
      <w:r xml:space="preserve">
        <w:tab wTab="150" tlc="none" cTlc="0"/>
      </w:r>
      <w:r>
        <w:t xml:space="preserve">H.B.</w:t>
      </w:r>
      <w:r xml:space="preserve">
        <w:t> </w:t>
      </w:r>
      <w:r>
        <w:t xml:space="preserve">No.</w:t>
      </w:r>
      <w:r xml:space="preserve">
        <w:t> </w:t>
      </w:r>
      <w:r>
        <w:t xml:space="preserve">767</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13,</w:t>
      </w:r>
      <w:r xml:space="preserve">
        <w:t> </w:t>
      </w:r>
      <w:r>
        <w:t xml:space="preserve">2023; April</w:t>
      </w:r>
      <w:r xml:space="preserve">
        <w:t> </w:t>
      </w:r>
      <w:r>
        <w:t xml:space="preserve">18,</w:t>
      </w:r>
      <w:r xml:space="preserve">
        <w:t> </w:t>
      </w:r>
      <w:r>
        <w:t xml:space="preserve">2023, read first time and referred to Committee on Criminal Justice; May</w:t>
      </w:r>
      <w:r xml:space="preserve">
        <w:t> </w:t>
      </w:r>
      <w:r>
        <w:t xml:space="preserve">3,</w:t>
      </w:r>
      <w:r xml:space="preserve">
        <w:t> </w:t>
      </w:r>
      <w:r>
        <w:t xml:space="preserve">2023, reported favorably by the following vote:</w:t>
      </w:r>
      <w:r>
        <w:t xml:space="preserve"> </w:t>
      </w:r>
      <w:r>
        <w:t xml:space="preserve"> </w:t>
      </w:r>
      <w:r>
        <w:t xml:space="preserve">Yeas 5, Nays 0; May</w:t>
      </w:r>
      <w:r xml:space="preserve">
        <w:t> </w:t>
      </w:r>
      <w:r>
        <w:t xml:space="preserve">3,</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Whitmire</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entry into the Texas Crime Information Center of certain information regarding conditions of bond for stalking offenses.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Article 17.50, Code of Criminal Procedure, is amended to read as follows:</w:t>
      </w:r>
    </w:p>
    <w:p w:rsidR="003F3435" w:rsidRDefault="0032493E">
      <w:pPr>
        <w:spacing w:line="480" w:lineRule="auto"/>
        <w:ind w:firstLine="720"/>
        <w:jc w:val="both"/>
      </w:pPr>
      <w:r>
        <w:t xml:space="preserve">Art.</w:t>
      </w:r>
      <w:r xml:space="preserve">
        <w:t> </w:t>
      </w:r>
      <w:r>
        <w:t xml:space="preserve">17.50.</w:t>
      </w:r>
      <w:r xml:space="preserve">
        <w:t> </w:t>
      </w:r>
      <w:r xml:space="preserve">
        <w:t> </w:t>
      </w:r>
      <w:r>
        <w:t xml:space="preserve">ENTRY INTO TEXAS CRIME INFORMATION CENTER OF CERTAIN INFORMATION IN CASES INVOLVING VIOLENT OFFENSES </w:t>
      </w:r>
      <w:r>
        <w:rPr>
          <w:u w:val="single"/>
        </w:rPr>
        <w:t xml:space="preserve">OR STALKING</w:t>
      </w:r>
      <w:r>
        <w:t xml:space="preserve">; DUTIES OF MAGISTRATES, SHERIFFS, AND DEPARTMENT OF PUBLIC SAFETY.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Articles 17.50(b) and (f), Code of Criminal Procedure, are amended to read as follows:</w:t>
      </w:r>
    </w:p>
    <w:p w:rsidR="003F3435" w:rsidRDefault="0032493E">
      <w:pPr>
        <w:spacing w:line="480" w:lineRule="auto"/>
        <w:ind w:firstLine="720"/>
        <w:jc w:val="both"/>
      </w:pPr>
      <w:r>
        <w:t xml:space="preserve">(b)</w:t>
      </w:r>
      <w:r xml:space="preserve">
        <w:t> </w:t>
      </w:r>
      <w:r xml:space="preserve">
        <w:t> </w:t>
      </w:r>
      <w:r>
        <w:t xml:space="preserve">As soon as practicable but not later than the next day after the date a magistrate issues an order imposing a condition of bond on a defendant under this chapter for a violent offense </w:t>
      </w:r>
      <w:r>
        <w:rPr>
          <w:u w:val="single"/>
        </w:rPr>
        <w:t xml:space="preserve">or an offense under Section 42.072, Penal Code</w:t>
      </w:r>
      <w:r>
        <w:t xml:space="preserve">, the magistrate shall notify the sheriff of the condition and provide to the sheriff the following information:</w:t>
      </w:r>
    </w:p>
    <w:p w:rsidR="003F3435" w:rsidRDefault="0032493E">
      <w:pPr>
        <w:spacing w:line="480" w:lineRule="auto"/>
        <w:ind w:firstLine="1440"/>
        <w:jc w:val="both"/>
      </w:pPr>
      <w:r>
        <w:t xml:space="preserve">(1)</w:t>
      </w:r>
      <w:r xml:space="preserve">
        <w:t> </w:t>
      </w:r>
      <w:r xml:space="preserve">
        <w:t> </w:t>
      </w:r>
      <w:r>
        <w:t xml:space="preserve">the information listed in Section 411.042(b)(6), Government Code, as that information relates to an order described by this subsection;</w:t>
      </w:r>
    </w:p>
    <w:p w:rsidR="003F3435" w:rsidRDefault="0032493E">
      <w:pPr>
        <w:spacing w:line="480" w:lineRule="auto"/>
        <w:ind w:firstLine="1440"/>
        <w:jc w:val="both"/>
      </w:pPr>
      <w:r>
        <w:t xml:space="preserve">(2)</w:t>
      </w:r>
      <w:r xml:space="preserve">
        <w:t> </w:t>
      </w:r>
      <w:r xml:space="preserve">
        <w:t> </w:t>
      </w:r>
      <w:r>
        <w:t xml:space="preserve">the name and address of any named person the condition of bond is intended to protect, and if different and applicable, the name and address of the victim of the alleged offense;</w:t>
      </w:r>
    </w:p>
    <w:p w:rsidR="003F3435" w:rsidRDefault="0032493E">
      <w:pPr>
        <w:spacing w:line="480" w:lineRule="auto"/>
        <w:ind w:firstLine="1440"/>
        <w:jc w:val="both"/>
      </w:pPr>
      <w:r>
        <w:t xml:space="preserve">(3)</w:t>
      </w:r>
      <w:r xml:space="preserve">
        <w:t> </w:t>
      </w:r>
      <w:r xml:space="preserve">
        <w:t> </w:t>
      </w:r>
      <w:r>
        <w:t xml:space="preserve">the date the order releasing the defendant on bond was issued; and</w:t>
      </w:r>
    </w:p>
    <w:p w:rsidR="003F3435" w:rsidRDefault="0032493E">
      <w:pPr>
        <w:spacing w:line="480" w:lineRule="auto"/>
        <w:ind w:firstLine="1440"/>
        <w:jc w:val="both"/>
      </w:pPr>
      <w:r>
        <w:t xml:space="preserve">(4)</w:t>
      </w:r>
      <w:r xml:space="preserve">
        <w:t> </w:t>
      </w:r>
      <w:r xml:space="preserve">
        <w:t> </w:t>
      </w:r>
      <w:r>
        <w:t xml:space="preserve">the court that issued the order releasing the defendant on bond.</w:t>
      </w:r>
    </w:p>
    <w:p w:rsidR="003F3435" w:rsidRDefault="0032493E">
      <w:pPr>
        <w:spacing w:line="480" w:lineRule="auto"/>
        <w:ind w:firstLine="720"/>
        <w:jc w:val="both"/>
      </w:pPr>
      <w:r>
        <w:t xml:space="preserve">(f)</w:t>
      </w:r>
      <w:r xml:space="preserve">
        <w:t> </w:t>
      </w:r>
      <w:r xml:space="preserve">
        <w:t> </w:t>
      </w:r>
      <w:r>
        <w:t xml:space="preserve">The Department of Public Safety shall:</w:t>
      </w:r>
    </w:p>
    <w:p w:rsidR="003F3435" w:rsidRDefault="0032493E">
      <w:pPr>
        <w:spacing w:line="480" w:lineRule="auto"/>
        <w:ind w:firstLine="1440"/>
        <w:jc w:val="both"/>
      </w:pPr>
      <w:r>
        <w:t xml:space="preserve">(1)</w:t>
      </w:r>
      <w:r xml:space="preserve">
        <w:t> </w:t>
      </w:r>
      <w:r xml:space="preserve">
        <w:t> </w:t>
      </w:r>
      <w:r>
        <w:t xml:space="preserve">modify the database to enable the database to accept and maintain detailed information on active conditions of bond regarding the requirements and status of a condition of bond imposed by a magistrate for a violent offense </w:t>
      </w:r>
      <w:r>
        <w:rPr>
          <w:u w:val="single"/>
        </w:rPr>
        <w:t xml:space="preserve">or an offense under Section 42.072, Penal Code</w:t>
      </w:r>
      <w:r>
        <w:t xml:space="preserve">, including information described by Subsections (b) and (c); and</w:t>
      </w:r>
    </w:p>
    <w:p w:rsidR="003F3435" w:rsidRDefault="0032493E">
      <w:pPr>
        <w:spacing w:line="480" w:lineRule="auto"/>
        <w:ind w:firstLine="1440"/>
        <w:jc w:val="both"/>
      </w:pPr>
      <w:r>
        <w:t xml:space="preserve">(2)</w:t>
      </w:r>
      <w:r xml:space="preserve">
        <w:t> </w:t>
      </w:r>
      <w:r xml:space="preserve">
        <w:t> </w:t>
      </w:r>
      <w:r>
        <w:t xml:space="preserve">develop and adopt a form for use by magistrates and sheriffs to facilitate the data collection and data entry required by this article.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17.50, Code of Criminal Procedure, as amended by this Act, applies only to condition of bond imposed on or after the effective date of this Act. A condition of bond imposed before the effective date of this Act is governed by the law in effect on the date the condition was imposed,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