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88R18981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768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768:</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768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personal leave during school holidays by certain school district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22.003, Education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employee with available personal leave under the state minimum personal leave program is entitled to use the leave for compensation for a day designated as a school holiday for which the employee would otherwise not receive compensation.  An employee may not use more than two of the personal leave days provided to the employee per year under the program for days designated as school holidays during that year.  This subsection applies only to a school district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not exempt from the overtime provisions of the federal Fair Labor Standards Act of 1938 (29 U.S.C. Section 201 et seq.);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whose pay is not annualized.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