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88R2999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 Garcia, et al.</w:t>
      </w:r>
      <w:r xml:space="preserve">
        <w:tab wTab="150" tlc="none" cTlc="0"/>
      </w:r>
      <w:r>
        <w:t xml:space="preserve">H.B.</w:t>
      </w:r>
      <w:r xml:space="preserve">
        <w:t> </w:t>
      </w:r>
      <w:r>
        <w:t xml:space="preserve">No.</w:t>
      </w:r>
      <w:r xml:space="preserve">
        <w:t> </w:t>
      </w:r>
      <w:r>
        <w:t xml:space="preserve">769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driving while license invalid.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521.457(e),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w:t>
      </w:r>
      <w:r>
        <w:rPr>
          <w:strike/>
        </w:rPr>
        <w:t xml:space="preserve">(f),</w:t>
      </w:r>
      <w:r>
        <w:t xml:space="preserve">] (f-1)[</w:t>
      </w:r>
      <w:r>
        <w:rPr>
          <w:strike/>
        </w:rPr>
        <w:t xml:space="preserve">,</w:t>
      </w:r>
      <w:r>
        <w:t xml:space="preserve">] and (f-2), an offense under this section is a Class C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521.457(f), Transportation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