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88R20458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773:</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releases of a student to the student's parent after school-initiated communication by a school district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25.0875.</w:t>
      </w:r>
      <w:r>
        <w:rPr>
          <w:u w:val="single"/>
        </w:rPr>
        <w:t xml:space="preserve"> </w:t>
      </w:r>
      <w:r>
        <w:rPr>
          <w:u w:val="single"/>
        </w:rPr>
        <w:t xml:space="preserve"> </w:t>
      </w:r>
      <w:r>
        <w:rPr>
          <w:u w:val="single"/>
        </w:rPr>
        <w:t xml:space="preserve">CERTAIN RELEASES OF STUDENT TO PARENT AFTER SCHOOL-INITIATED COMMUNICATION PROHIBITED.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school district or open-enrollment charter school may not release a student to the student's parent before the end of the instructional day and after the parent receives a school-initiated communication if the release of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discipline management technique;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reaction to the student's behavior that impedes the student's ability to learn but does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violate the student code of conduct under Section 37.001;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the student's teacher to remove the student under Section 37.002.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release a student to the student's parent before the end of the instructional day if the student's release occurs because the student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suspended under Section 37.005;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expelled under Section 37.0052, 37.007, or 37.0081.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