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88R3243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774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 valorem tax appraisal of an older residence homestead located in or near a tax increment financing reinvestment zone.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23.013,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1.04(7), in determining the market value of a residence homestead that is more than 30 years old and located in a tax increment financing reinvestment zone designated by a municipality under Chapter 311 or in the area adjacent to the zone, the chief appraiser for the appraisal district in which the property is located may, as the chief appraiser considers appropriate to fairly appraise the property, exclude from consideration the value of new or substantially remodeled residential properties that are located in the same neighborhood as the residence homestead being appraised and that would otherwise be considered in appraising the residence homestead.  For purposes of this subsection, an area adjacent to a tax increment financing reinvestment zone means any area within two miles of the zone's boundaries in any direction that is not located within the boundaries of another reinvestment zone.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 purposes of a residence homestead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authorizing the legislature to provide that the officials responsible for appraising property for ad valorem taxation in a county may exclude from consideration the value of new or substantially remodeled residential property when determining the market value of an older residence homestead located in or near a tax increment financing reinvestment zone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