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Vasut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779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issuance of certain warrants by statutory county court judges.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1.</w:t>
      </w:r>
      <w:r xml:space="preserve">
        <w:t> </w:t>
      </w:r>
      <w:r xml:space="preserve">
        <w:t> </w:t>
      </w:r>
      <w:r>
        <w:t xml:space="preserve">Article 18.01(d), Code of Criminal Procedure, is 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Only the specifically described property or items set forth in a </w:t>
      </w:r>
      <w:r>
        <w:t xml:space="preserve">search warrant issued under Article 18.02(a)(10) or property, items or contraband enumerated in Article 18.02(a)(1), (2), (3), (4), (5), (6), (7), (8), (9), or (12) may be seized. A subsequent search warrant may be issued pursuant to Article 18.02(a)(10) to search the same person, place, or thing subjected to a prior search under Article 18.02(a)(10) only if the subsequent search warrant is issued by a judge of a </w:t>
      </w:r>
      <w:r>
        <w:rPr>
          <w:u w:val="single"/>
        </w:rPr>
        <w:t xml:space="preserve">statutory county court,</w:t>
      </w:r>
      <w:r>
        <w:t xml:space="preserve">  district court, a court of appeals, the court of criminal appeals, or the supreme court.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2.</w:t>
      </w:r>
      <w:r xml:space="preserve">
        <w:t> </w:t>
      </w:r>
      <w:r xml:space="preserve">
        <w:t> </w:t>
      </w:r>
      <w:r>
        <w:t xml:space="preserve">Article 18.0215(b), Code of Criminal 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warrant under this article may be issued only by a judge in the same judicial district</w:t>
      </w:r>
      <w:r>
        <w:rPr>
          <w:u w:val="single"/>
        </w:rPr>
        <w:t xml:space="preserve">, or a judge of a statutory county court in the same county,</w:t>
      </w:r>
      <w:r>
        <w:t xml:space="preserve"> as the site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law enforcement agency that employs the peace  officer, if the cellular telephone or other wireless communications device is in the officer's possession;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likely location of the telephone or device.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779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