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783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cemeteries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 Health and Safety Code, is amended by amending Subsection (a) and adding Subsections (g-3) and (g-4)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(f), (g), (g-1), (g-2), </w:t>
      </w:r>
      <w:r>
        <w:rPr>
          <w:u w:val="single"/>
        </w:rPr>
        <w:t xml:space="preserve">(g-3), (g-4),</w:t>
      </w:r>
      <w:r>
        <w:t xml:space="preserve"> (h), and (k),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An individual, corporation, partnership, firm, trust, or association may file a written application with the governing body of a municipality to establish or use a cemetery located inside the limits of the municipality. The governing body by ordinance shall prescribe the information to be included in the application. The governing body by ordinance may authorize the establishment or use of the cemetery if the governing body determines and states in the ordinance that the establishment or use of the cemetery does not adversely affect public health, safety, and welfare. This subsection applies only to a municipality that is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more than 750,000;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adjacent to a county with a population of more than 750,000.</w:t>
      </w:r>
      <w:r>
        <w:t xml:space="preserve"> </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An individual, corporation, partnership, firm, trust, or association may file a written application with the commissioners court of a county to establish or use a cemetery located inside the limits of the county. The commissioners court by order shall prescribe the information to be included in the application. The commissioners court by order may authorize the establishment or use of the cemetery if the commissioners court determines and states in the order that the establishment or use of the cemetery does not adversely affect public health, safety, and welfare. This subsection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750,000;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adjacent to a county with a population of more than 750,000.</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