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88R2029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to be a candidate for, or elected or appointed to, a public elective office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141.001(a),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to be a candidate for, or elected or appointed to, a public elective office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18 years of age or older on the first day of the term to be filled at the election or on the date of appointment, as applicable;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have not been finally convicted of a felony from which the person has not been pardoned or otherwise released from the resulting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have resided continuously in the state for 12 months and in the territory from which the office is elected for six months immediately preceding the following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candidate whose name is to appear on a general primary election ballot,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independent candidate, the date of the regular filing deadline for a candidate's application for a place on the ballot;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a write-in candidate, the date of the election at which the candidate's name is written 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for a party nominee who is nominated by any method other than by primary election, the date the nomination is made;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an appointee to an office, the date the appointment is made;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 the date described by Subdivision (5), be registered to vote in the territory from which the office is elected;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satisfy any other eligibility requirements prescribed by law for the office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paid all child support due and payable by the person unless: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has made all due payments under a payment plan;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support due is being contested or negotiated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