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88R19598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Noble, Hull, Campos, Manuel, Klick,</w:t>
      </w:r>
      <w:r xml:space="preserve">
        <w:tab wTab="150" tlc="none" cTlc="0"/>
      </w:r>
      <w:r>
        <w:t xml:space="preserve">H.B.</w:t>
      </w:r>
      <w:r xml:space="preserve">
        <w:t> </w:t>
      </w:r>
      <w:r>
        <w:t xml:space="preserve">No.</w:t>
      </w:r>
      <w:r xml:space="preserve">
        <w:t> </w:t>
      </w:r>
      <w:r>
        <w:t xml:space="preserve">793</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selection and reimbursement of certain persons providing services required under a service plan filed by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263, Family Code, is amended by adding Section 263.1021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263.1021.</w:t>
      </w:r>
      <w:r>
        <w:rPr>
          <w:u w:val="single"/>
        </w:rPr>
        <w:t xml:space="preserve"> </w:t>
      </w:r>
      <w:r>
        <w:rPr>
          <w:u w:val="single"/>
        </w:rPr>
        <w:t xml:space="preserve"> </w:t>
      </w:r>
      <w:r>
        <w:rPr>
          <w:u w:val="single"/>
        </w:rPr>
        <w:t xml:space="preserve">SELECTION AND REIMBURSEMENT OF SERVICE PROVIDER.  (a) </w:t>
      </w:r>
      <w:r>
        <w:rPr>
          <w:u w:val="single"/>
        </w:rPr>
        <w:t xml:space="preserve"> </w:t>
      </w:r>
      <w:r>
        <w:rPr>
          <w:u w:val="single"/>
        </w:rPr>
        <w:t xml:space="preserve">A parent who is required to complete a service plan under this subchapter may obtain services from a qualified or licensed provider selected by the parent.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Services obtained from a provider selected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designed to achieve the stated goals of the service plan;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provided through an electronic communication platform.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service provider selected by a parent shall certify in writing whether the parent has satisfactorily completed the required service.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reimburse a service provider selected by the parent under Subsection (a) who is not under contract with the department in an amount equal to the average cost for the specific service from department contractors providing the service in the region where the parent resides.</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rules relating to the manner in which providers are reimbursed for services provided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implement this section using existing resources.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2023, the Department of Family and Protective Services shall adopt the rules required by Section 263.1021(e), Family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suit filed by the Department of Family and Protective Services on or after the effective date of this Act. </w:t>
      </w:r>
      <w:r>
        <w:t xml:space="preserve"> </w:t>
      </w:r>
      <w:r>
        <w:t xml:space="preserve">A suit filed by the department before that date is governed by the law in effect on the date the suit was filed,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