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88R19598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Hull, Campos, Manuel, Klick</w:t>
      </w:r>
      <w:r xml:space="preserve">
        <w:tab wTab="150" tlc="none" cTlc="0"/>
      </w:r>
      <w:r>
        <w:t xml:space="preserve">H.B.</w:t>
      </w:r>
      <w:r xml:space="preserve">
        <w:t> </w:t>
      </w:r>
      <w:r>
        <w:t xml:space="preserve">No.</w:t>
      </w:r>
      <w:r xml:space="preserve">
        <w:t> </w:t>
      </w:r>
      <w:r>
        <w:t xml:space="preserve">793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793:</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reimbursement of certain persons providing services required under a service plan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263, Family Code, is amended by adding Section 263.1021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263.1021.</w:t>
      </w:r>
      <w:r>
        <w:rPr>
          <w:u w:val="single"/>
        </w:rPr>
        <w:t xml:space="preserve"> </w:t>
      </w:r>
      <w:r>
        <w:rPr>
          <w:u w:val="single"/>
        </w:rPr>
        <w:t xml:space="preserve"> </w:t>
      </w:r>
      <w:r>
        <w:rPr>
          <w:u w:val="single"/>
        </w:rPr>
        <w:t xml:space="preserve">SELECTION AND REIMBURSEMENT OF SERVICE PROVIDER.  (a) </w:t>
      </w:r>
      <w:r>
        <w:rPr>
          <w:u w:val="single"/>
        </w:rPr>
        <w:t xml:space="preserve"> </w:t>
      </w:r>
      <w:r>
        <w:rPr>
          <w:u w:val="single"/>
        </w:rP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obtained from a provider selected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achieve the stated goals of the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through an electronic communication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relating to the manner in which providers are reimbursed for services provided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this section using existing resources.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Department of Family and Protective Services shall adopt the rules required by Section 263.1021(e),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filed by the Department of Family and Protective Services on or after the effective date of this Act. </w:t>
      </w:r>
      <w:r>
        <w:t xml:space="preserve"> </w:t>
      </w:r>
      <w:r>
        <w:t xml:space="preserve">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