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88R3628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Button</w:t>
      </w:r>
      <w:r xml:space="preserve">
        <w:tab wTab="150" tlc="none" cTlc="0"/>
      </w:r>
      <w:r>
        <w:t xml:space="preserve">H.B.</w:t>
      </w:r>
      <w:r xml:space="preserve">
        <w:t> </w:t>
      </w:r>
      <w:r>
        <w:t xml:space="preserve">No.</w:t>
      </w:r>
      <w:r xml:space="preserve">
        <w:t> </w:t>
      </w:r>
      <w:r>
        <w:t xml:space="preserve">796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and maintenance by an appraisal district of a publicly available Internet database of information regarding protest hearings conducted by the appraisal review board established for the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41, Tax Code, is amended by adding Section 41.13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41.13.</w:t>
      </w:r>
      <w:r>
        <w:rPr>
          <w:u w:val="single"/>
        </w:rPr>
        <w:t xml:space="preserve"> </w:t>
      </w:r>
      <w:r>
        <w:rPr>
          <w:u w:val="single"/>
        </w:rPr>
        <w:t xml:space="preserve"> </w:t>
      </w:r>
      <w:r>
        <w:rPr>
          <w:u w:val="single"/>
        </w:rPr>
        <w:t xml:space="preserve">PROTEST HEARING DATABASE.  (a)  The chief appraiser of each appraisal district shall create and maintain a publicly available and searchable Internet database that contains information regarding protest hearings conducted by the appraisal review board established for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each protest hearing conducted by the appraisal review board, the database must contain: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of each appraisal review board member who attended the hearing;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and time of the hearing;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account number and category for the property that was the subject of the hearing;</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appraised value according to the appraisal district and the property owner's asserted value of the property that was the subject of the hearing;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appraisal review board's determination of the protest, including the board's determination of the value of the property if the hearing was to consider a protest regarding appraised value.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information required to be included in the database regarding a hearing shall be promptly entered in the database after the conclusion and determination of the hearing.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database may, but is not required to, include information for protests relating to a tax year preceding the 2024 tax year.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January 1, 2024, the chief appraiser of each appraisal district shall create and make available to the public the Internet database required by Section 41.13, Tax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