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88R2064 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H.B.</w:t>
      </w:r>
      <w:r xml:space="preserve">
        <w:t> </w:t>
      </w:r>
      <w:r>
        <w:t xml:space="preserve">No.</w:t>
      </w:r>
      <w:r xml:space="preserve">
        <w:t> </w:t>
      </w:r>
      <w:r>
        <w:t xml:space="preserve">797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education requirements for an applicant to take the uniform CPA examination.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901.254, Occupations Code, is amended to read as follows:</w:t>
      </w:r>
    </w:p>
    <w:p w:rsidR="003F3435" w:rsidRDefault="0032493E">
      <w:pPr>
        <w:spacing w:line="480" w:lineRule="auto"/>
        <w:ind w:firstLine="720"/>
        <w:jc w:val="both"/>
      </w:pPr>
      <w:r>
        <w:t xml:space="preserve">Sec.</w:t>
      </w:r>
      <w:r xml:space="preserve">
        <w:t> </w:t>
      </w:r>
      <w:r>
        <w:t xml:space="preserve">901.254.</w:t>
      </w:r>
      <w:r xml:space="preserve">
        <w:t> </w:t>
      </w:r>
      <w:r xml:space="preserve">
        <w:t> </w:t>
      </w:r>
      <w:r>
        <w:t xml:space="preserve">EDUCATION REQUIREMENTS.  To be eligible to take the uniform CPA examination, an applicant must:</w:t>
      </w:r>
    </w:p>
    <w:p w:rsidR="003F3435" w:rsidRDefault="0032493E">
      <w:pPr>
        <w:spacing w:line="480" w:lineRule="auto"/>
        <w:ind w:firstLine="1440"/>
        <w:jc w:val="both"/>
      </w:pPr>
      <w:r>
        <w:t xml:space="preserve">(1)</w:t>
      </w:r>
      <w:r xml:space="preserve">
        <w:t> </w:t>
      </w:r>
      <w:r xml:space="preserve">
        <w:t> </w:t>
      </w:r>
      <w:r>
        <w:t xml:space="preserve">hold a baccalaureate or graduate degree, or its equivalent as determined by board rule, conferred by a board-recognized institution of higher education; and</w:t>
      </w:r>
    </w:p>
    <w:p w:rsidR="003F3435" w:rsidRDefault="0032493E">
      <w:pPr>
        <w:spacing w:line="480" w:lineRule="auto"/>
        <w:ind w:firstLine="1440"/>
        <w:jc w:val="both"/>
      </w:pPr>
      <w:r>
        <w:t xml:space="preserve">(2)</w:t>
      </w:r>
      <w:r xml:space="preserve">
        <w:t> </w:t>
      </w:r>
      <w:r xml:space="preserve">
        <w:t> </w:t>
      </w:r>
      <w:r>
        <w:t xml:space="preserve">complete at least </w:t>
      </w:r>
      <w:r>
        <w:rPr>
          <w:u w:val="single"/>
        </w:rPr>
        <w:t xml:space="preserve">120</w:t>
      </w:r>
      <w:r>
        <w:t xml:space="preserve"> [</w:t>
      </w:r>
      <w:r>
        <w:rPr>
          <w:strike/>
        </w:rPr>
        <w:t xml:space="preserve">150</w:t>
      </w:r>
      <w:r>
        <w:t xml:space="preserve">] semester hours or quarter-hour equivalents in board-recognized courses, including </w:t>
      </w:r>
      <w:r>
        <w:rPr>
          <w:u w:val="single"/>
        </w:rPr>
        <w:t xml:space="preserve">at least 24 semester hours of</w:t>
      </w:r>
      <w:r>
        <w:t xml:space="preserve"> </w:t>
      </w:r>
      <w:r>
        <w:t xml:space="preserve">[</w:t>
      </w:r>
      <w:r>
        <w:rPr>
          <w:strike/>
        </w:rPr>
        <w:t xml:space="preserve">an</w:t>
      </w:r>
      <w:r>
        <w:t xml:space="preserve">] accounting [</w:t>
      </w:r>
      <w:r>
        <w:rPr>
          <w:strike/>
        </w:rPr>
        <w:t xml:space="preserve">concentration</w:t>
      </w:r>
      <w:r>
        <w:t xml:space="preserve">] or equivalent courses as determined by board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901.254, Occupations Code, as amended by this Act, applies only to an application to take an examination submitted on or after the effective date of this Act.  An application to take an examination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