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88R14285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800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certain criminal conduct involving the smuggling of persons, the operation of a stash house, or evading an arrest or detention;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12.50(b) and (c), Penal Code, are amended to read as follows:</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t xml:space="preserve"> </w:t>
      </w:r>
      <w:r>
        <w:t xml:space="preserve">If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 </w:t>
      </w:r>
      <w:r>
        <w:t xml:space="preserve"> </w:t>
      </w:r>
      <w:r>
        <w:rPr>
          <w:u w:val="single"/>
        </w:rPr>
        <w:t xml:space="preserve">The minimum term of imprisonment for an offense listed under Subsection (b)(1), (2), or (3) for which punishment is increased under this section is 10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20.05(b),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with a minimum term of imprisonment of five years, except that the offense is a felony of the second degree with a minimum term of imprisonment of five years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is committed under Subsection (a)(1) and the property that is the subject of the offense is used to commit or facilitate the commission of an offense under Section 20.06, 20A.03,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as a direct result of the commission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22.01(b-1), Penal Code, is amended to read as follows:</w:t>
      </w:r>
    </w:p>
    <w:p w:rsidR="003F3435" w:rsidRDefault="0032493E">
      <w:pPr>
        <w:spacing w:line="480" w:lineRule="auto"/>
        <w:ind w:firstLine="720"/>
        <w:jc w:val="both"/>
      </w:pPr>
      <w:r>
        <w:t xml:space="preserve">(b-1)</w:t>
      </w:r>
      <w:r xml:space="preserve">
        <w:t> </w:t>
      </w:r>
      <w:r xml:space="preserve">
        <w:t> </w:t>
      </w:r>
      <w:r>
        <w:t xml:space="preserve">Notwithstanding Subsection (b), an offense under Subsection (a)(1) is a felony of the third degree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 or</w:t>
      </w:r>
    </w:p>
    <w:p w:rsidR="003F3435" w:rsidRDefault="0032493E">
      <w:pPr>
        <w:spacing w:line="480" w:lineRule="auto"/>
        <w:ind w:firstLine="1440"/>
        <w:jc w:val="both"/>
      </w:pPr>
      <w:r>
        <w:rPr>
          <w:u w:val="single"/>
        </w:rPr>
        <w:t xml:space="preserve">(2)</w:t>
      </w:r>
      <w:r xml:space="preserve">
        <w:t> </w:t>
      </w:r>
      <w:r xml:space="preserve">
        <w:t> </w:t>
      </w:r>
      <w:r>
        <w:t xml:space="preserve">the offense is committed: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while the actor is committed to a civil commitment facility;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against: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an officer or employee of the Texas Civil Commitment Office:</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while the officer or employee is lawfully discharging an official duty at a civil commitment facility;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a person who contracts with the state to perform a service in a civil commitment facility or an employee of that person:</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while the person or employee is engaged in performing a service within the scope of the contract, if the actor knows the person or employee is authorized by the state to provide the service;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28, Penal Code, is amended by adding Section 28.10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w:t>
      </w:r>
      <w:r>
        <w:rPr>
          <w:u w:val="single"/>
        </w:rPr>
        <w:t xml:space="preserve"> </w:t>
      </w:r>
      <w:r>
        <w:rPr>
          <w:u w:val="single"/>
        </w:rPr>
        <w:t xml:space="preserve"> </w:t>
      </w:r>
      <w:r>
        <w:rPr>
          <w:u w:val="single"/>
        </w:rPr>
        <w:t xml:space="preserve">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course of committing an offense under Section 20.05(a)(2);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course of or for the purpose of engaging in conduct constituting an offense under Section 38.04.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30.02,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in Subsection (c-1)</w:t>
      </w:r>
      <w:r>
        <w:rPr>
          <w:u w:val="single"/>
        </w:rPr>
        <w:t xml:space="preserve">, (c-2),</w:t>
      </w:r>
      <w:r>
        <w:t xml:space="preserve">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under this section is a felony of the third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premises are a building other than a habitation;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30.04(d),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it is shown on the trial of the offense that the defendant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38.04,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offense under this section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