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800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11,</w:t>
      </w:r>
      <w:r xml:space="preserve">
        <w:t> </w:t>
      </w:r>
      <w:r>
        <w:t xml:space="preserve">2023; May</w:t>
      </w:r>
      <w:r xml:space="preserve">
        <w:t> </w:t>
      </w:r>
      <w:r>
        <w:t xml:space="preserve">12,</w:t>
      </w:r>
      <w:r xml:space="preserve">
        <w:t> </w:t>
      </w:r>
      <w:r>
        <w:t xml:space="preserve">2023, read first time and referred to Committee on Border Security; May</w:t>
      </w:r>
      <w:r xml:space="preserve">
        <w:t> </w:t>
      </w:r>
      <w:r>
        <w:t xml:space="preserve">19,</w:t>
      </w:r>
      <w:r xml:space="preserve">
        <w:t> </w:t>
      </w:r>
      <w:r>
        <w:t xml:space="preserve">2023, reported favorably by the following vote:</w:t>
      </w:r>
      <w:r>
        <w:t xml:space="preserve"> </w:t>
      </w:r>
      <w:r>
        <w:t xml:space="preserve"> </w:t>
      </w:r>
      <w:r>
        <w:t xml:space="preserve">Yeas 4, Nays 1;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w:t>
      </w:r>
      <w:r>
        <w:t xml:space="preserve"> </w:t>
      </w:r>
      <w:r>
        <w:t xml:space="preserve">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 (b)</w:t>
      </w:r>
      <w:r>
        <w:t xml:space="preserve">], the sentences shall run concurrently.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22.01(b-1)(1),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w:t>
      </w:r>
      <w:r>
        <w:rPr>
          <w:u w:val="single"/>
        </w:rPr>
        <w:t xml:space="preserve"> </w:t>
      </w:r>
      <w:r>
        <w:rPr>
          <w:u w:val="single"/>
        </w:rPr>
        <w:t xml:space="preserve">If the accused is found guilty of more than one offense described by Subsection (c)(1)(A),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