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88R3056 EAS-D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Thierry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803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establishment of a work group to conduct a study on the feasibility of implementing an acute psychiatric bed registry.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(a)  In this section: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"Commission" means the Health and Human Services Commission.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"Executive commissioner" means the executive commissioner of the commission.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"Inpatient mental health facility" has the meaning assigned by Section 571.003, Health and Safety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commission shall establish a work group to conduct a study on the feasibility of implementing a statewide or regional acute psychiatric bed registry to list available beds at inpatient mental health facilities for the inpatient psychiatric treatment of certain individuals.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work group consists of the following members appointed by the executive commissioner unless otherwise provided: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one member with appropriate expertise appointed by the governor;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two members with appropriate expertise appointed by the lieutenant governor;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two members with appropriate expertise appointed by the speaker of the house of representatives;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chair of the Texas Hospital Association or the chair's designee;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the president of the Texas Medical Association or the president's designee;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the president of the Texas Nurses Association or the president's designee;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two members who are experts in the field of technology;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one member who is a licensed psychiatrist;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one member who is a licensed professional counselor, as defined by Section 503.002, Occupations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(10)</w:t>
      </w:r>
      <w:r xml:space="preserve">
        <w:t> </w:t>
      </w:r>
      <w:r xml:space="preserve">
        <w:t> </w:t>
      </w:r>
      <w:r>
        <w:t xml:space="preserve">one member who works in a substance use treatment facility;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(11)</w:t>
      </w:r>
      <w:r xml:space="preserve">
        <w:t> </w:t>
      </w:r>
      <w:r xml:space="preserve">
        <w:t> </w:t>
      </w:r>
      <w:r>
        <w:t xml:space="preserve">one member who is a representative of a hospital located in a rural area of this state;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(12)</w:t>
      </w:r>
      <w:r xml:space="preserve">
        <w:t> </w:t>
      </w:r>
      <w:r xml:space="preserve">
        <w:t> </w:t>
      </w:r>
      <w:r>
        <w:t xml:space="preserve">one member who is a representative of a hospital located in a county with a population of four million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(13)</w:t>
      </w:r>
      <w:r xml:space="preserve">
        <w:t> </w:t>
      </w:r>
      <w:r xml:space="preserve">
        <w:t> </w:t>
      </w:r>
      <w:r>
        <w:t xml:space="preserve">one member who is a representative of a hospital located in an urban area of this state in a county with a population of less than four million;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(14)</w:t>
      </w:r>
      <w:r xml:space="preserve">
        <w:t> </w:t>
      </w:r>
      <w:r xml:space="preserve">
        <w:t> </w:t>
      </w:r>
      <w:r>
        <w:t xml:space="preserve">one member who is a representative of a public hospital;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(15)</w:t>
      </w:r>
      <w:r xml:space="preserve">
        <w:t> </w:t>
      </w:r>
      <w:r xml:space="preserve">
        <w:t> </w:t>
      </w:r>
      <w:r>
        <w:t xml:space="preserve">one member who is a representative of a private hospital;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(16)</w:t>
      </w:r>
      <w:r xml:space="preserve">
        <w:t> </w:t>
      </w:r>
      <w:r xml:space="preserve">
        <w:t> </w:t>
      </w:r>
      <w:r>
        <w:t xml:space="preserve">one member who is a statistician;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(17)</w:t>
      </w:r>
      <w:r xml:space="preserve">
        <w:t> </w:t>
      </w:r>
      <w:r xml:space="preserve">
        <w:t> </w:t>
      </w:r>
      <w:r>
        <w:t xml:space="preserve">one member who is a public health expert;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(18)</w:t>
      </w:r>
      <w:r xml:space="preserve">
        <w:t> </w:t>
      </w:r>
      <w:r xml:space="preserve">
        <w:t> </w:t>
      </w:r>
      <w:r>
        <w:t xml:space="preserve">any other member with appropriate expertise as the executive commissioner determines necessary.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work group shall elect from among the membership a presiding officer.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The work group shall meet periodically and at the call of the presiding officer.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Not later than September 1, 2024, the commission shall prepare and submit to each standing committee of the senate and house of representatives having primary jurisdiction over mental health a written report that summarizes the results of the study conducted under this section.  The report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evaluate the effect of bed registries;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include recommendations for increasing public awareness of bed registries;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include recommendations for leveraging financial incentives and legislative, regulatory, or contractual mechanisms to expedite the entry of data for bed registries;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assess the effect of hospital reimbursements in increasing bed availability;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evaluate psychiatric treatment capacity in relation to bed availability;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include any other information the commission considers necessary.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The work group is abolished and this section expires September 1, 2025.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As soon as practicable after the effective date of this Act, the applicable appointing authorities shall appoint the members to the work group established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803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