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88R3479 JAM-D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VanDeaver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806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a study regarding the placement of rumble strips on highway shoulders.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For purposes of this Act: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"Department" means the Texas Department of Transportation.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"Highway" means a road, highway, farm-to-market road, or street under the supervision of the state or a political subdivision of the state.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"Rumble strips" means any rough-textured or slightly raised or depressed road surface intended to alert motor vehicle operators through noise and vibration.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(a) </w:t>
      </w:r>
      <w:r>
        <w:t xml:space="preserve"> </w:t>
      </w:r>
      <w:r>
        <w:t xml:space="preserve">The department shall conduct a study that identifies and assesses the optimal placement of rumble strips along highway shoulders to permit use of the shoulders by farm equipment in a manner that: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does not impede the movement of traffic on the highway;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maintains  the functionality of the rumble strip as a safety feature for motor vehicle operators.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department may collaborate with another state agency or a research division of an institution of higher education in this state to conduct the study.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Not later than December 1, 2025, the department shall prepare and submit to the legislature a written report containing the results of the study and any recommendations for legislative or other action.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expires January 1, 2027.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4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806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