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88R4441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815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distinctive packaging for opioid prescription drugs.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Red Cap Opioid Safety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481.074(a),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pharmacist may not:</w:t>
      </w:r>
    </w:p>
    <w:p w:rsidR="003F3435" w:rsidRDefault="0032493E">
      <w:pPr>
        <w:spacing w:line="480" w:lineRule="auto"/>
        <w:ind w:firstLine="1440"/>
        <w:jc w:val="both"/>
      </w:pPr>
      <w:r>
        <w:t xml:space="preserve">(1)</w:t>
      </w:r>
      <w:r xml:space="preserve">
        <w:t> </w:t>
      </w:r>
      <w:r xml:space="preserve">
        <w:t> </w:t>
      </w:r>
      <w:r>
        <w:t xml:space="preserve">dispense or deliver a controlled substance or cause a controlled substance to be dispensed or delivered under the pharmacist's direction or supervision except under a valid prescription and in the course of professional practice;</w:t>
      </w:r>
    </w:p>
    <w:p w:rsidR="003F3435" w:rsidRDefault="0032493E">
      <w:pPr>
        <w:spacing w:line="480" w:lineRule="auto"/>
        <w:ind w:firstLine="1440"/>
        <w:jc w:val="both"/>
      </w:pPr>
      <w:r>
        <w:t xml:space="preserve">(2)</w:t>
      </w:r>
      <w:r xml:space="preserve">
        <w:t> </w:t>
      </w:r>
      <w:r xml:space="preserve">
        <w:t> </w:t>
      </w:r>
      <w:r>
        <w:t xml:space="preserve">dispense a controlled substance if the pharmacist knows or should have known that the prescription was issued without a valid patient-practitioner relationship;</w:t>
      </w:r>
    </w:p>
    <w:p w:rsidR="003F3435" w:rsidRDefault="0032493E">
      <w:pPr>
        <w:spacing w:line="480" w:lineRule="auto"/>
        <w:ind w:firstLine="1440"/>
        <w:jc w:val="both"/>
      </w:pPr>
      <w:r>
        <w:t xml:space="preserve">(3)</w:t>
      </w:r>
      <w:r xml:space="preserve">
        <w:t> </w:t>
      </w:r>
      <w:r xml:space="preserve">
        <w:t> </w:t>
      </w:r>
      <w:r>
        <w:t xml:space="preserve">fill a prescription that is not prepared or issued as prescribed by this chapter;</w:t>
      </w:r>
    </w:p>
    <w:p w:rsidR="003F3435" w:rsidRDefault="0032493E">
      <w:pPr>
        <w:spacing w:line="480" w:lineRule="auto"/>
        <w:ind w:firstLine="1440"/>
        <w:jc w:val="both"/>
      </w:pPr>
      <w:r>
        <w:t xml:space="preserve">(4)</w:t>
      </w:r>
      <w:r xml:space="preserve">
        <w:t> </w:t>
      </w:r>
      <w:r xml:space="preserve">
        <w:t> </w:t>
      </w:r>
      <w:r>
        <w:t xml:space="preserve">permit or allow a person who is not a licensed pharmacist or pharmacist intern to dispense, distribute, or in any other manner deliver a controlled substance even if under the supervision of a pharmacist, except that after the pharmacist or pharmacist intern has fulfilled his professional and legal responsibilities, a nonpharmacist may complete the actual cash or credit transaction and delivery;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permit the delivery of a controlled substance to any person not known to the pharmacist, the pharmacist intern, or the person authorized by the pharmacist to deliver the controlled substance without first requiring identification of the person taking possession of the controlled substance, except as provided by Subsection (n)</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dispense or deliver an opioid not in the distinctive packaging required by board rules adopted under Section 481.0761(l)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481.0761, Health and Safety Code, is amended by adding Subsection (l) to read as follows: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board shall adopt rules requiring that an opioid be dispensed in a bottle with a distinctive red cap or, if the opioid is dispensed in a container other than a bottle, in a container bearing a conspicuous red label.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Texas State Board of Pharmacy shall adopt the rules required under Section 481.0761(l), Health and Safety Code, as added by this Act, not later than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 prescription for an opioid dispensed on or after March 1, 2024.  A prescription dispensed before March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