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820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imposing an additional fee for the registration of electric and hybrid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502.198(a),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502.058, 502.060, 502.1911, 502.192, 502.356, [</w:t>
      </w:r>
      <w:r>
        <w:rPr>
          <w:strike/>
        </w:rPr>
        <w:t xml:space="preserve">and</w:t>
      </w:r>
      <w:r>
        <w:t xml:space="preserve">] 502.357</w:t>
      </w:r>
      <w:r>
        <w:rPr>
          <w:u w:val="single"/>
        </w:rPr>
        <w:t xml:space="preserve">, and 502.360</w:t>
      </w:r>
      <w:r>
        <w:t xml:space="preserve"> and Subchapter H, this section applies to all fees collected by a county assessor-collector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502, Transportation Code, is amended by adding Section 502.360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502.360.</w:t>
      </w:r>
      <w:r>
        <w:rPr>
          <w:u w:val="single"/>
        </w:rPr>
        <w:t xml:space="preserve"> </w:t>
      </w:r>
      <w:r>
        <w:rPr>
          <w:u w:val="single"/>
        </w:rPr>
        <w:t xml:space="preserve"> </w:t>
      </w:r>
      <w:r>
        <w:rPr>
          <w:u w:val="single"/>
        </w:rPr>
        <w:t xml:space="preserve">ADDITIONAL FEE FOR ELECTRIC AND HYBRID VEHICLES.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vehicle" means a motor vehicle that uses electricity as its only source of motor power.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"Hybrid vehicle" means a motor vehicle that uses gasoline or conventional diesel fuel and electricity as its sources of motor power.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other fees authorized under this chapter, at the time of application for registration or renewal of registration of an electric vehicle or hybrid vehicle, the applicant shall pay an additional fee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$200, if the vehicle is an electric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if the vehicle is a hybrid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Fees collected under this section must be deposited to the credit of the state highway fund, except that 10 percent of the fees collected under this section must be deposited to the credit of the electric vehicle battery disposal account created under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electric vehicle battery disposal account is created as an account in the general revenue fund and shall be administered by the Texas Commission on Environmental Quality. </w:t>
      </w:r>
      <w:r>
        <w:rPr>
          <w:u w:val="single"/>
        </w:rPr>
        <w:t xml:space="preserve"> </w:t>
      </w:r>
      <w:r>
        <w:rPr>
          <w:u w:val="single"/>
        </w:rPr>
        <w:t xml:space="preserve">Money in the account may be used only by the Texas Commission on Environmental Quality to reimburse costs incurred by this state or political subdivisions of this state that are associated with the disposal of electric vehicle batteries.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