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88R19228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837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837:</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appropriated money by the Texas State Guard for recruiting and retention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2113.011,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Texas State Guard from using appropriated money for the purpose of recruiting or retaining service members, employees, or other personnel.  In this subsection, "service member" and "Texas State Guard" have the meanings assigned by Section 437.001.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