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88R3805 JTZ-F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w:t>
      </w:r>
      <w:r xml:space="preserve">
        <w:tab wTab="150" tlc="none" cTlc="0"/>
      </w:r>
      <w:r>
        <w:t xml:space="preserve">H.B.</w:t>
      </w:r>
      <w:r xml:space="preserve">
        <w:t> </w:t>
      </w:r>
      <w:r>
        <w:t xml:space="preserve">No.</w:t>
      </w:r>
      <w:r xml:space="preserve">
        <w:t> </w:t>
      </w:r>
      <w:r>
        <w:t xml:space="preserve">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judicial statistics and related information gathered by the Texas Judicial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w:t>
      </w:r>
      <w:r>
        <w:rPr>
          <w:u w:val="single"/>
        </w:rPr>
        <w:t xml:space="preserve">, including case-level information on the amount and character of the business transacted by courts,</w:t>
      </w:r>
      <w:r>
        <w:t xml:space="preserve">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