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88R16324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842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842:</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suspension of a person's driver's license or extension of the period of a driver's license suspension for certain driving while license invalid convictions;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521.457(h), the</w:t>
      </w:r>
      <w:r>
        <w:t xml:space="preserve"> [</w:t>
      </w:r>
      <w:r>
        <w:rPr>
          <w:strike/>
        </w:rPr>
        <w:t xml:space="preserve">The</w:t>
      </w:r>
      <w:r>
        <w:t xml:space="preserv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521.343(c),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521.457(h), if</w:t>
      </w:r>
      <w:r>
        <w:t xml:space="preserve"> [</w:t>
      </w:r>
      <w:r>
        <w:rPr>
          <w:strike/>
        </w:rPr>
        <w:t xml:space="preserve">If</w:t>
      </w:r>
      <w:r>
        <w:t xml:space="preserve">] the license holder is convicted of operating a motor vehicle while the license to operate a motor vehicle is cancelled, disqualified, suspended, revoked, or denied, the period is extended for the same term as the original suspension or disqualification, in addition to any penalty assessed under this chapter or Chapter 522.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521.457, Transportation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department may not suspend a person's driver's license under Section 521.292(a)(1), or extend the period a person's driver's license is suspended under Section 521.343(c), for a conviction of an offense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was committed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convicted of the offense after August 31, 2023;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the department the fee required under Section 521.313(a) or any other fee required for the reinstatement of the person's driver's license in the manner prescribed by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 (h)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commercial driver's license issued under Chapter 522;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was transporting hazardous materials or operating a commercial motor vehicle at the time of the offense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fee collected under Subsection (h)(3) shall be deposited to the credit of the Texas mobility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