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Thierry, Leach</w:t>
      </w:r>
      <w:r xml:space="preserve">
        <w:tab wTab="150" tlc="none" cTlc="0"/>
      </w:r>
      <w:r>
        <w:t xml:space="preserve">H.B.</w:t>
      </w:r>
      <w:r xml:space="preserve">
        <w:t> </w:t>
      </w:r>
      <w:r>
        <w:t xml:space="preserve">No.</w:t>
      </w:r>
      <w:r xml:space="preserve">
        <w:t> </w:t>
      </w:r>
      <w:r>
        <w:t xml:space="preserve">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crime victims'</w:t>
      </w:r>
      <w:r>
        <w:t xml:space="preserve"> </w:t>
      </w:r>
      <w:r>
        <w:t xml:space="preserve">compensation for criminally injurious conduct in connection with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56B, Code of Criminal Procedure, is amended by adding Article 56B.0035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56B.0035.</w:t>
      </w:r>
      <w:r>
        <w:rPr>
          <w:u w:val="single"/>
        </w:rPr>
        <w:t xml:space="preserve"> </w:t>
      </w:r>
      <w:r>
        <w:rPr>
          <w:u w:val="single"/>
        </w:rPr>
        <w:t xml:space="preserve"> </w:t>
      </w:r>
      <w:r>
        <w:rPr>
          <w:u w:val="single"/>
        </w:rPr>
        <w:t xml:space="preserve">CRIMINALLY INJURIOUS CONDUCT.  (a)  For purposes of this chapter, criminally injurious conduct includes the solicitation or patronization of forced labor or services, including sexual conduct, by any person if the solicitation or patronization occurs in connection with a scheme or course of conduct that constitutes the trafficking of persons.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victim of criminally injurious conduct described by Subsection (a) is a trafficking victim for the purposes of grant programs administered by the office of the governor.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w:t>
      </w:r>
      <w:r>
        <w:t xml:space="preserve">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