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Thierry, Leach</w:t>
      </w:r>
      <w:r xml:space="preserve">
        <w:tab wTab="150" tlc="none" cTlc="0"/>
      </w:r>
      <w:r>
        <w:t xml:space="preserve">H.B.</w:t>
      </w:r>
      <w:r xml:space="preserve">
        <w:t> </w:t>
      </w:r>
      <w:r>
        <w:t xml:space="preserve">No.</w:t>
      </w:r>
      <w:r xml:space="preserve">
        <w:t> </w:t>
      </w:r>
      <w:r>
        <w:t xml:space="preserve">844</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Paxton)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8,</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crime victims'</w:t>
      </w:r>
      <w:r>
        <w:t xml:space="preserve"> </w:t>
      </w:r>
      <w:r>
        <w:t xml:space="preserve">compensation for criminally injurious conduct in connection with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56B, Code of Criminal Procedure, is amended by adding Article 56B.0035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56B.0035.</w:t>
      </w:r>
      <w:r>
        <w:rPr>
          <w:u w:val="single"/>
        </w:rPr>
        <w:t xml:space="preserve"> </w:t>
      </w:r>
      <w:r>
        <w:rPr>
          <w:u w:val="single"/>
        </w:rPr>
        <w:t xml:space="preserve"> </w:t>
      </w:r>
      <w:r>
        <w:rPr>
          <w:u w:val="single"/>
        </w:rPr>
        <w:t xml:space="preserve">CRIMINALLY INJURIOUS CONDUCT.  (a)  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victim of criminally injurious conduct described by Subsection (a) is a trafficking victim for the purposes of grant programs administered by the office of the governor.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Compensation for criminally injurious conduct occurring before the effective date of this Act is governed by the law in effect on the date the conduct occurred, and the former law is continued in effect for that purpose.  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