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public institution of higher education from providing financial support to nonprofit media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Free Press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FINANCIAL SUPPORT OF NONPROFIT MEDIA ORGANIZATION PROHIBITED.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institution of higher education may not use funds from any source to provide financial support, including through the purchase of a membership, sponsorship, or advertising services, to a media organization that is exempt from federal income tax under Section 501(a), Internal Revenue Code of 1986, by being listed as an exempt organization in Section 501(c)(3) of that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Section 51.980, Education Code, as added by this Act, applies only to an expenditure of funds that is made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does not affect an expenditure of funds made under the terms of a contract entered into before the effective date of this Act.  An expenditure of funds made under the terms of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