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88R5401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Swanson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address information contained on reports of political contributions and expenditures made available on the Internet by the Texas Ethics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254.0401, Election Code, is amended by amending Subsection (e) and adding Subsection (e-1)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Before making a report filed under Section 254.036(b) available on the Internet, the commission shall remove each portion, other than city, state, and zip code,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address of a person listed as having made a political contribution to the person filing the report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residence address of an individual listed as having received a political expenditure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 xml:space="preserve">
        <w:t> </w:t>
      </w:r>
      <w:r xml:space="preserve">
        <w:t> </w:t>
      </w:r>
      <w:r>
        <w:t xml:space="preserve">The address information </w:t>
      </w:r>
      <w:r>
        <w:rPr>
          <w:u w:val="single"/>
        </w:rPr>
        <w:t xml:space="preserve">the commission removes under Subsection (e)</w:t>
      </w:r>
      <w:r>
        <w:t xml:space="preserve"> [</w:t>
      </w:r>
      <w:r>
        <w:rPr>
          <w:strike/>
        </w:rPr>
        <w:t xml:space="preserve">removed</w:t>
      </w:r>
      <w:r>
        <w:t xml:space="preserve">] must remain available on the report maintained in the commission's office but may not be available electronically at that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report of political contributions and expenditures under Chapter 254, Election Code, that is required to be filed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