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unemployment compensation for employees who leave the workplace due to sexual harassment.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207.046(a),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437.001, Government Code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 leaves the workplace because of sexual harassment, but only if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reported the sexual harassment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individual's employer;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filed a sexual harassment complaint with the commission under Chapter 21 or with the federal Equal Employment Opportunity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