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88R4108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for funding for certain workforce development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302, Labor Code, is amended by adding Section 302.0465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302.0465.</w:t>
      </w:r>
      <w:r>
        <w:rPr>
          <w:u w:val="single"/>
        </w:rPr>
        <w:t xml:space="preserve"> </w:t>
      </w:r>
      <w:r>
        <w:rPr>
          <w:u w:val="single"/>
        </w:rPr>
        <w:t xml:space="preserve"> </w:t>
      </w:r>
      <w:r>
        <w:rPr>
          <w:u w:val="single"/>
        </w:rPr>
        <w:t xml:space="preserve">DIRECT FUNDING APPLICATION.  (a) The commission shall adopt a plan to allow nonprofit service providers to apply for funding directly from the commission if the local workforce development board is nonresponsive. </w:t>
      </w:r>
      <w:r>
        <w:rPr>
          <w:u w:val="single"/>
        </w:rPr>
        <w:t xml:space="preserve"> </w:t>
      </w:r>
      <w:r>
        <w:rPr>
          <w:u w:val="single"/>
        </w:rPr>
        <w:t xml:space="preserve">A local workforce development board is considered nonresponsive if, as determined by the commission,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fulfilling the board's statutory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met at least 80 percent of the performance standards established under this chapter and other applicable federal and state law for two consecutive program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adopted under this section may include an application for funding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job training programs funded under the Workforce Innovation and Opportunity Act (29 U.S.C. Section 3101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postsecondary vocational and technical job training programs that are not part of approved courses or programs that lead to licensing, certification, or an associate degree under Chapter 61, 130, or 135, Education Code, or Subchapter E, Chapter 88,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adult education programs under Chapter 315;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employment services programs;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 services provided for recipients of financial assistance under Chapter 31, Human Resources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employment and training programs for recipients of supplemental nutrition assistance under Chapter 33,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Workforce Commission shall adopt the rules necessary to implement Section 302.0465,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