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88R778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Bowers,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874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to the cancellation of a water right for nonuse.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11.173(b),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permit, certified filing, or certificate of adjudication or a portion of a permit, certified filing, or certificate of adjudication is exempt from cancellation under Subsection (a):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the extent of the owner's participation in the Conservation Reserve Program authorized by the Food Security Act, Pub.L. No.</w:t>
      </w:r>
      <w:r xml:space="preserve">
        <w:t> </w:t>
      </w:r>
      <w:r>
        <w:t xml:space="preserve">99-198, Secs. 1231-1236, 99 Stat. 1354, 1509-1514 (1985) or a similar governmental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a significant portion of the water authorized to be used pursuant to a permit, certified filing, or certificate of adjudication has been used in accordance with a specific recommendation for meeting a water need included in the regional water plan approved pursuant to Section 16.053;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if the permit, certified filing, or certificate of adjudication: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was obtained to meet demonstrated long-term public water supply or electric generation needs as evidenced by a water management plan developed by the holder;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consistent with projections of future water needs contained in the state water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if the permit, certified filing, or certificate of adjudication was obtained as the result of the construction of a reservoir funded, in whole or in part, by the holder of the permit, certified filing, or certificate of adjudication as part of the holder's long-term water planning;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to the extent the nonuse resulted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implementation of water conservation measures under a water conservation plan submitted by the holder of the permit, certified filing, or certificate of adjudication as evidenced by implementation reports submitted by the holder;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suspension, adjustment, or other restriction on the use of the water authorized to be appropriated under the permit, certified filing, or certificate of adjudication imposed under an order issued by the executive director;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inability to appropriate the water authorized to be appropriated under the permit, certified filing, or certificate of adjudication due to drought conditions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executed temporary or permanent forbearance agreement that: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promotes restoration, preservation, or enhancement of instream flows;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entered into by the holder of the permit, certified filing, or certificate of adjudication;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filed with the commission not later than the 180th day after the date the agreement was executed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