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88R4289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877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Legislative Budget Board concerning the long-term effects of regulating tuition rates and amounts charged by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322, Government Code, is amended by adding Section 322.0166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322.0166.</w:t>
      </w:r>
      <w:r>
        <w:rPr>
          <w:u w:val="single"/>
        </w:rPr>
        <w:t xml:space="preserve"> </w:t>
      </w:r>
      <w:r>
        <w:rPr>
          <w:u w:val="single"/>
        </w:rPr>
        <w:t xml:space="preserve"> </w:t>
      </w:r>
      <w:r>
        <w:rPr>
          <w:u w:val="single"/>
        </w:rPr>
        <w:t xml:space="preserve">STUDY CONCERNING REGULATION OF TUITION.  (a)  In this section, "institution of higher education"</w:t>
      </w:r>
      <w:r>
        <w:rPr>
          <w:u w:val="single"/>
        </w:rPr>
        <w:t xml:space="preserve"> </w:t>
      </w:r>
      <w:r>
        <w:rPr>
          <w:u w:val="single"/>
        </w:rPr>
        <w:t xml:space="preserve">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conduct a study to examine the long-term costs, benefits, and other effects of any legislative action that may be taken to regulate the rates and amounts of tuition charged by institutions of higher education, including by repealing the statutory authority of those institutions to establish tuition rates as they determine appropriate.  The study may explore all topics relevant to the matter but, in assessing the effects of regulation, must strive to strike a balance between promoting the affordability and accessibility of higher education in this state and the institutions' need for sufficient revenue to maintain educational quality for students and competitiveness with other institutions outside this state.  In the study,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 to the legislature an appropriate rate or rates of tuition for institutions of higher education compared to the rates currently established by the institutions;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potential effects of regulating tuition rates and amounts on student access to higher education opportunities in this state, including the effect on enrollment by disadvantaged or underrepresented Texans, and the potential effects on affordability, student financial aid, and student loan debt;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estimate the potential loss or gain of funding or revenue by the institutions as a result of any repeal of the existing statutory authority of those institutions to establish tuition rates;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board projects that regulating tuition rates and amounts would result in a loss of revenue under Subdivision (3):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any sources of funding or revenue, such as institutional endowments, that would be available or necessary to offset the projected decrease in revenue;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 a specific portion or amount of endowment money that could be used to offset the reduced tuition revenues.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2024, the board shall submit to the governor, the lieutenant governor, the speaker of the house of representatives, and the presiding officer of each standing legislative committee having jurisdiction over higher education or state appropriations a report on the results of the study and the board's recommendations for legislative or other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