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88R19702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Harless</w:t>
      </w:r>
      <w:r xml:space="preserve">
        <w:tab wTab="150" tlc="none" cTlc="0"/>
      </w:r>
      <w:r>
        <w:t xml:space="preserve">H.B.</w:t>
      </w:r>
      <w:r xml:space="preserve">
        <w:t> </w:t>
      </w:r>
      <w:r>
        <w:t xml:space="preserve">No.</w:t>
      </w:r>
      <w:r xml:space="preserve">
        <w:t> </w:t>
      </w:r>
      <w:r>
        <w:t xml:space="preserve">884</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884:</w:t>
      </w:r>
    </w:p>
    <w:p w:rsidR="003F3435" w:rsidRDefault="0032493E">
      <w:pPr>
        <w:spacing w:line="480" w:lineRule="auto"/>
        <w:jc w:val="both"/>
        <w:tabs>
          <w:tab w:val="right" w:leader="none" w:pos="9350"/>
        </w:tabs>
      </w:pPr>
      <w:r>
        <w:t xml:space="preserve">By:</w:t>
      </w:r>
      <w:r xml:space="preserve">
        <w:t> </w:t>
      </w:r>
      <w:r xml:space="preserve">
        <w:t> </w:t>
      </w:r>
      <w:r>
        <w:t xml:space="preserve">Holland</w:t>
      </w:r>
      <w:r xml:space="preserve">
        <w:tab wTab="150" tlc="none" cTlc="0"/>
      </w:r>
      <w:r>
        <w:t xml:space="preserve">C.S.H.B.</w:t>
      </w:r>
      <w:r xml:space="preserve">
        <w:t> </w:t>
      </w:r>
      <w:r>
        <w:t xml:space="preserve">No.</w:t>
      </w:r>
      <w:r xml:space="preserve">
        <w:t> </w:t>
      </w:r>
      <w:r>
        <w:t xml:space="preserve">884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law enforcement authority of federal border patrol agents.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2.122, Code of Criminal Procedure,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In addition to the power granted under Subsection (c), a Border Patrol Agent of the United States Customs and Border Protection has the powers of arrest and search and seizure as to any felony offense under the laws of this state, or any criminal offense under federal law, committed within the boundaries of a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adjacent to the Texas-Mexico border or the Gulf of Mexico;</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adjacent to a county described by Subdivision (1);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served by an attorney representing the state whose jurisdiction includes a county described by Subdivision (1) or (2).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office of the attorney general shall give written notice to the commanding authority of each United States border patrol sector in this state regarding the authority granted to border patrol agents by this Act and the counties in that sector in which this authority may be exercised.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884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