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88R3971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H.B.</w:t>
      </w:r>
      <w:r xml:space="preserve">
        <w:t> </w:t>
      </w:r>
      <w:r>
        <w:t xml:space="preserve">No.</w:t>
      </w:r>
      <w:r xml:space="preserve">
        <w:t> </w:t>
      </w:r>
      <w:r>
        <w:t xml:space="preserve">884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granting limited state law enforcement authority to certain federal officers and agents.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2.122(c),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A Customs and Border Protection Officer or Border Patrol Agent of the United States Customs and Border Protection or an immigration enforcement agent or deportation officer of the Department of Homeland Security is not a peace officer under the laws of this state but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the powers of arrest, search, and seizure under the laws of this state as to felony offenses committed in this state;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on the premises of a port facility designated by the commissioner of the United States Customs and Border Protection as a port of entry for arrival in the United States by land transportation from the United Mexican States into the State of Texas or at a permanent established border patrol traffic </w:t>
      </w:r>
      <w:r>
        <w:rPr>
          <w:u w:val="single"/>
        </w:rPr>
        <w:t xml:space="preserve">checkpoint</w:t>
      </w:r>
      <w:r>
        <w:t xml:space="preserve"> [</w:t>
      </w:r>
      <w:r>
        <w:rPr>
          <w:strike/>
        </w:rPr>
        <w:t xml:space="preserve">check point</w:t>
      </w:r>
      <w:r>
        <w:t xml:space="preserve">], has the authority to detain a person pending transfer without unnecessary delay to a peace officer if the agent or officer has probable cause to believe that the person has engaged in conduct that is a violation of Section 49.02 </w:t>
      </w:r>
      <w:r>
        <w:rPr>
          <w:u w:val="single"/>
        </w:rPr>
        <w:t xml:space="preserve">or</w:t>
      </w:r>
      <w:r>
        <w:t xml:space="preserve">[</w:t>
      </w:r>
      <w:r>
        <w:rPr>
          <w:strike/>
        </w:rPr>
        <w:t xml:space="preserve">,</w:t>
      </w:r>
      <w:r>
        <w:t xml:space="preserve">] 49.04, [</w:t>
      </w:r>
      <w:r>
        <w:rPr>
          <w:strike/>
        </w:rPr>
        <w:t xml:space="preserve">49.07, or 49.08,</w:t>
      </w:r>
      <w:r>
        <w:t xml:space="preserve">] Penal Code, regardless of whether the violation may be disposed of in a criminal proceeding or a juvenile justice proceeding.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