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88R2031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timing of changes to county election precincts.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42.031(a),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During March or April of each </w:t>
      </w:r>
      <w:r>
        <w:rPr>
          <w:u w:val="single"/>
        </w:rPr>
        <w:t xml:space="preserve">even-numbered</w:t>
      </w:r>
      <w:r>
        <w:t xml:space="preserve"> [</w:t>
      </w:r>
      <w:r>
        <w:rPr>
          <w:strike/>
        </w:rPr>
        <w:t xml:space="preserve">odd-numbered</w:t>
      </w:r>
      <w:r>
        <w:t xml:space="preserve">] year, each commissioners court shall determine whether the county election precincts comply with Sections 42.005, 42.006, and 42.007. [</w:t>
      </w:r>
      <w:r>
        <w:rPr>
          <w:strike/>
        </w:rPr>
        <w:t xml:space="preserve">The commissioners court may make that determination during March or April of an even-numbered year.</w:t>
      </w:r>
      <w:r>
        <w:t xml:space="preserve">] Before May 1 of the year in which the determination is made, the commissioners court shall order the boundary changes necessary for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42.033(a),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change in a county election precinct boundary takes effect on the first day of the first </w:t>
      </w:r>
      <w:r>
        <w:rPr>
          <w:u w:val="single"/>
        </w:rPr>
        <w:t xml:space="preserve">odd-numbered</w:t>
      </w:r>
      <w:r>
        <w:t xml:space="preserve"> [</w:t>
      </w:r>
      <w:r>
        <w:rPr>
          <w:strike/>
        </w:rPr>
        <w:t xml:space="preserve">even-numbered voting</w:t>
      </w:r>
      <w:r>
        <w:t xml:space="preserve">] year following the [</w:t>
      </w:r>
      <w:r>
        <w:rPr>
          <w:strike/>
        </w:rPr>
        <w:t xml:space="preserve">voting</w:t>
      </w:r>
      <w:r>
        <w:t xml:space="preserve">] year in which the change is ordered.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