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88R19514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Kaufman, Buckley,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890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Harris of Anderson, Hefner, Dutton,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process adopted by a school district regarding complaints and hearings on complaints.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11.1511(b),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seek to establish working relationships with other public entities to make effective use of community resources and to serve the needs of public school students in the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adopt a vision statement and comprehensive goals for the district and the superintendent and monitor progress toward those goals;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establish performance goals for the district concerning: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academic and fiscal performance indicators under Subchapters C, D, and J, Chapter 39;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performance indicators adopted by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ensure that the superintendent: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accountable for achieving performance results;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recognizes performance accomplishments;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takes action as necessary to meet performance goals;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adopt a policy to establish a district- and campus-level planning and decision-making process as required under Section 11.251;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publish an annual educational performance report as required under Section 39.306;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adopt an annual budget for the district as required under Section 44.004;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adopt a tax rate each fiscal year as required under Section 26.05, Tax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monitor district finances to ensure that the superintendent is properly maintaining the district's financial procedures and records;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ensure that district fiscal accounts are audited annually as required under Section 44.008;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publish an end-of-year financial report for distribution to the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conduct elections as required by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by rule, adopt a process through which district personnel, students or the parents or guardians of students, and members of the public may </w:t>
      </w:r>
      <w:r>
        <w:rPr>
          <w:u w:val="single"/>
        </w:rPr>
        <w:t xml:space="preserve">file a complaint and</w:t>
      </w:r>
      <w:r>
        <w:t xml:space="preserve"> obtain a hearing from the district administrators and the board regarding </w:t>
      </w:r>
      <w:r>
        <w:rPr>
          <w:u w:val="single"/>
        </w:rPr>
        <w:t xml:space="preserve">the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complaint </w:t>
      </w:r>
      <w:r>
        <w:rPr>
          <w:u w:val="single"/>
        </w:rPr>
        <w:t xml:space="preserve">that must: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 complaint to be filed at any time regardless of when the conduct initially giving rise to the complaint occurred if the complaint alleges a violation of law or board policy that is continuous or ongoing;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otherwise provided by law, include: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initial administrative hearing;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opportunity to appeal the administrative decision following the initial hearing;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otherwise agreed to by the parties, provide for a final decision on the complaint not later than 120 calendar days after the date on which the complaint was filed;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final decision on a complaint is not rendered before the 120th day after the date on which the complaint was filed, require the district to immediately render a final decision on the complaint in favor of the complainant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make decisions relating to terminating the employment of district employees employed under a contract to which Chapter 21 applies, including terminating or not renewing an employment contract to which that chapter applies;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carry out other powers and duties as provided by this code or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board of trustees of a school district shall adopt a process for filing a complaint and obtaining a hearing in accordance with Section 11.1511(b), Education Code, as amended by this Act, as soon as practicable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