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88R1755 BDP-F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Bell of Kaufman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890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school district hearings regarding complaints.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11.1511(b),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board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seek to establish working relationships with other public entities to make effective use of community resources and to serve the needs of public school students in the community;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adopt a vision statement and comprehensive goals for the district and the superintendent and monitor progress toward those goals;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establish performance goals for the district concerning: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academic and fiscal performance indicators under Subchapters C, D, and J, Chapter 39;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any performance indicators adopted by the district;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ensure that the superintendent: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accountable for achieving performance results;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recognizes performance accomplishments;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takes action as necessary to meet performance goals;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adopt a policy to establish a district- and campus-level planning and decision-making process as required under Section 11.251;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publish an annual educational performance report as required under Section 39.306;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adopt an annual budget for the district as required under Section 44.004;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adopt a tax rate each fiscal year as required under Section 26.05, Tax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monitor district finances to ensure that the superintendent is properly maintaining the district's financial procedures and records;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ensure that district fiscal accounts are audited annually as required under Section 44.008;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publish an end-of-year financial report for distribution to the community;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(12)</w:t>
      </w:r>
      <w:r xml:space="preserve">
        <w:t> </w:t>
      </w:r>
      <w:r xml:space="preserve">
        <w:t> </w:t>
      </w:r>
      <w:r>
        <w:t xml:space="preserve">conduct elections as required by law;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(13)</w:t>
      </w:r>
      <w:r xml:space="preserve">
        <w:t> </w:t>
      </w:r>
      <w:r xml:space="preserve">
        <w:t> </w:t>
      </w:r>
      <w:r>
        <w:t xml:space="preserve">by rule, adopt a process through which district personnel, students or the parents or guardians of students, and members of the public may obtain a hearing from the district administrators and the board regarding a complaint </w:t>
      </w:r>
      <w:r>
        <w:rPr>
          <w:u w:val="single"/>
        </w:rPr>
        <w:t xml:space="preserve">that must: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unless otherwise provided by law, include: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initial administrative hearing;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opportunity to appeal the administrative decision following the initial hearing; and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unless otherwise agreed to by the parties, provide for a resolution of the complaint not later than 120 calendar days after the date on which the complaint was filed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(14)</w:t>
      </w:r>
      <w:r xml:space="preserve">
        <w:t> </w:t>
      </w:r>
      <w:r xml:space="preserve">
        <w:t> </w:t>
      </w:r>
      <w:r>
        <w:t xml:space="preserve">make decisions relating to terminating the employment of district employees employed under a contract to which Chapter 21 applies, including terminating or not renewing an employment contract to which that chapter applies;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(15)</w:t>
      </w:r>
      <w:r xml:space="preserve">
        <w:t> </w:t>
      </w:r>
      <w:r xml:space="preserve">
        <w:t> </w:t>
      </w:r>
      <w:r>
        <w:t xml:space="preserve">carry out other powers and duties as provided by this code or 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board of trustees of a school district shall adopt a process for a hearing in accordance with Section 11.1511(b), Education Code, as amended by this Act, as soon as practicable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890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