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88R16536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891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891:</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891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expert testimony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104.008, Family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does not prohibit a person from offering an expert opinion regarding the qualifications of, reliability of the methodology used by, or relevance of the information obtained by a person who has conducted a custody evaluation relating to the child under Subchapter D, Chapter 107, as long as the person's testimony does not violate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suit affecting the parent-child relationship that is filed on or after the effective date of this Act. A suit affecting the parent-child relationship filed before the effective date of this Act is governed by the law in effect on the date the suit is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891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