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88R3656 JTZ-D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Moody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906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provision of information regarding mental health and suicide prevention services to entering students at public institutions of higher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51.9194, Education Code, is amended by amending Subsection (a) and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An institution of higher education</w:t>
      </w:r>
      <w:r>
        <w:t xml:space="preserve"> [</w:t>
      </w:r>
      <w:r>
        <w:rPr>
          <w:strike/>
        </w:rPr>
        <w:t xml:space="preserve">A general academic teaching institution</w:t>
      </w:r>
      <w:r>
        <w:t xml:space="preserve">] shall provide to each entering [</w:t>
      </w:r>
      <w:r>
        <w:rPr>
          <w:strike/>
        </w:rPr>
        <w:t xml:space="preserve">full-time</w:t>
      </w:r>
      <w:r>
        <w:t xml:space="preserve">] undergraduate, graduate, or professional student, including each [</w:t>
      </w:r>
      <w:r>
        <w:rPr>
          <w:strike/>
        </w:rPr>
        <w:t xml:space="preserve">full-time</w:t>
      </w:r>
      <w:r>
        <w:t xml:space="preserve">] undergraduate, graduate, or professional student who transfers to the institution, information about: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available mental health and suicide prevention services offered by the institution or by any associated organizations or programs;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early warning signs that are often present in and appropriate intervention for a person who may be considering suicide.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this section, "institution of higher education" has the meaning assigned by Section 61.003.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51.9194, Education Code, as amended by this Act, applies beginning with the 2023-2024 academic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906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