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88R4418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H.B.</w:t>
      </w:r>
      <w:r xml:space="preserve">
        <w:t> </w:t>
      </w:r>
      <w:r>
        <w:t xml:space="preserve">No.</w:t>
      </w:r>
      <w:r xml:space="preserve">
        <w:t> </w:t>
      </w:r>
      <w:r>
        <w:t xml:space="preserve">913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statewide homelessness data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KK, Chapter 2306, Government Code, is amended by adding Section 2306.911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2306.911.</w:t>
      </w:r>
      <w:r>
        <w:rPr>
          <w:u w:val="single"/>
        </w:rPr>
        <w:t xml:space="preserve"> </w:t>
      </w:r>
      <w:r>
        <w:rPr>
          <w:u w:val="single"/>
        </w:rPr>
        <w:t xml:space="preserve"> </w:t>
      </w:r>
      <w:r>
        <w:rPr>
          <w:u w:val="single"/>
        </w:rPr>
        <w:t xml:space="preserve">STATEWIDE HOMELESSNESS DATA SYSTEM.  (a)  The council shall collaborate with a state agency designated by the council to establish a statewide homelessness data system through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 agencies and local governmental entities, including law enforcement agencies, court systems, school districts, and emergency service providers, are able to share information related to individuals experiencing homelessness;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entities described by Subdivision (1) are able to access information related to individuals experiencing homelessness in order to connect or refer those individuals to services, including affordable housing opportunities.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the data system, the council and the state agency designated by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with representatives of the entities described by Subsection (a) to determine the challenges faced by those entities in addressing homelessness and how best to improve the responses to those challenges;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data sharing agreements as necessary for the exchange of information relating to individuals experiencing homelessness through the data system;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information stored in the data system that is confidential under state or federal law is not disclosed.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data system established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extent permitted by a data sharing agreement, collect data from other homelessness data systems maintained or operated by a state agency, local law enforcement agency, or other entity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collect, aggregate, analyze, and share homelessness information submitted to the data system with entities that have access to the system.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2025, the Texas Interagency Council for the Homeless described by Subchapter KK, Chapter 2306, Government Code, or an entity designated by the council shall prepare and submit to the legislature and the Texas Department of Housing and Community Affairs a written report that evaluates the effectiveness of the statewide homelessness data system established under Section 2306.911, Government Code, as added by this Act, in addressing homelessness in this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