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88R18206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 Goldman, Canales, Moody,</w:t>
      </w:r>
      <w:r xml:space="preserve">
        <w:tab wTab="150" tlc="none" cTlc="0"/>
      </w:r>
      <w:r>
        <w:t xml:space="preserve">H.B.</w:t>
      </w:r>
      <w:r xml:space="preserve">
        <w:t> </w:t>
      </w:r>
      <w:r>
        <w:t xml:space="preserve">No.</w:t>
      </w:r>
      <w:r xml:space="preserve">
        <w:t> </w:t>
      </w:r>
      <w:r>
        <w:t xml:space="preserve">914</w:t>
      </w:r>
    </w:p>
    <w:p w:rsidR="003F3435" w:rsidRDefault="0032493E">
      <w:pPr>
        <w:jc w:val="both"/>
      </w:pPr>
      <w:r xml:space="preserve">
        <w:t> </w:t>
      </w:r>
      <w:r xml:space="preserve">
        <w:t> </w:t>
      </w:r>
      <w:r xml:space="preserve">
        <w:t> </w:t>
      </w:r>
      <w:r xml:space="preserve">
        <w:t> </w:t>
      </w:r>
      <w:r xml:space="preserve">
        <w:t> </w:t>
      </w:r>
      <w:r>
        <w:t xml:space="preserve">Lopez of Cameron,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temporary vehicle tags and the offense of tampering with a governmental record.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(b)(1) or (2) of that section;</w:t>
      </w:r>
    </w:p>
    <w:p w:rsidR="003F3435" w:rsidRDefault="0032493E">
      <w:pPr>
        <w:spacing w:line="480" w:lineRule="auto"/>
        <w:ind w:firstLine="1440"/>
        <w:jc w:val="both"/>
      </w:pPr>
      <w:r>
        <w:t xml:space="preserve">(1-a)</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Section 37.10, Penal Code, if the offense is for tampering with a temporary tag issued under Chapter 502 or 503, Transportation Code;</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or by the United States;</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r>
        <w:rPr>
          <w:u w:val="single"/>
        </w:rPr>
        <w:t xml:space="preserv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temporary tag issued under Chapter 502 or 503, Transportation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37.10(c), Penal Code, is amended by amending Subdivision (1) and adding Subdivision (6) to read as follows:</w:t>
      </w:r>
    </w:p>
    <w:p w:rsidR="003F3435" w:rsidRDefault="0032493E">
      <w:pPr>
        <w:spacing w:line="480" w:lineRule="auto"/>
        <w:ind w:firstLine="1440"/>
        <w:jc w:val="both"/>
      </w:pPr>
      <w:r>
        <w:t xml:space="preserve">(1)</w:t>
      </w:r>
      <w:r xml:space="preserve">
        <w:t> </w:t>
      </w:r>
      <w:r xml:space="preserve">
        <w:t> </w:t>
      </w:r>
      <w:r>
        <w:t xml:space="preserve">Except as provided by Subdivisions (2), (3), (4), [</w:t>
      </w:r>
      <w:r>
        <w:rPr>
          <w:strike/>
        </w:rPr>
        <w:t xml:space="preserve">and</w:t>
      </w:r>
      <w:r>
        <w:t xml:space="preserve">] (5), and </w:t>
      </w:r>
      <w:r>
        <w:rPr>
          <w:u w:val="single"/>
        </w:rPr>
        <w:t xml:space="preserve">(6), and</w:t>
      </w:r>
      <w:r>
        <w:t xml:space="preserve"> by Subsection (d), an offense under this section is a Class A misdemeanor unless the actor's intent is to defraud or harm another, in which event the offense is a state jail felony.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offense under this section is a Class A misdemeanor if the governmental record is a temporary tag issued under Chapter 502 or 503,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