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employers post notice of certain information regarding reporting instances of workplace violence or suspicious activity.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104A to read as follows:</w:t>
      </w:r>
    </w:p>
    <w:p w:rsidR="003F3435" w:rsidRDefault="0032493E">
      <w:pPr>
        <w:spacing w:line="480" w:lineRule="auto"/>
        <w:jc w:val="center"/>
      </w:pPr>
      <w:r>
        <w:rPr>
          <w:u w:val="single"/>
        </w:rPr>
        <w:t xml:space="preserve">CHAPTER 104A.  REPORTING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104A.002.</w:t>
      </w:r>
      <w:r>
        <w:rPr>
          <w:u w:val="single"/>
        </w:rPr>
        <w:t xml:space="preserve"> </w:t>
      </w:r>
      <w:r>
        <w:rPr>
          <w:u w:val="single"/>
        </w:rPr>
        <w:t xml:space="preserve"> </w:t>
      </w:r>
      <w:r>
        <w:rPr>
          <w:u w:val="single"/>
        </w:rPr>
        <w:t xml:space="preserve">NOTICE BY EMPLOYER.  Each employer shall post a notice to employees of the contact information for reporting instances of workplace violence or suspicious activity to the Department of Public Safety.  The notice must be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conspicuous place in the employer's place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sufficient locations to be convenient to all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104A.003.</w:t>
      </w:r>
      <w:r>
        <w:rPr>
          <w:u w:val="single"/>
        </w:rPr>
        <w:t xml:space="preserve"> </w:t>
      </w:r>
      <w:r>
        <w:rPr>
          <w:u w:val="single"/>
        </w:rPr>
        <w:t xml:space="preserve"> </w:t>
      </w:r>
      <w:r>
        <w:rPr>
          <w:u w:val="single"/>
        </w:rPr>
        <w:t xml:space="preserve">RULES.  The commission, in consultation with the Department of Public Safety, by rule shall prescribe the form and content of the notice required by this section.  The rules must require that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contact information for reporting instances of workplace violence or suspicious activity to the Department of Public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employees of the right to make a report to the Department of Public Safety anonymously.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2024, the Texas Workforce Commission shall adopt rules as required by Section 104A.003,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915 was passed by the House on April 28, 2023, by the following vote:</w:t>
      </w:r>
      <w:r xml:space="preserve">
        <w:t> </w:t>
      </w:r>
      <w:r xml:space="preserve">
        <w:t> </w:t>
      </w:r>
      <w:r>
        <w:t xml:space="preserve">Yeas 128, Nays 20, 1 present, not voting; that the House refused to concur in Senate amendments to H.B. No. 915 on May 26, 2023, and requested the appointment of a conference committee to consider the differences between the two houses; and that the House adopted the conference committee report on H.B. No. 915 on May 28, 2023, by the following vote:</w:t>
      </w:r>
      <w:r xml:space="preserve">
        <w:t> </w:t>
      </w:r>
      <w:r xml:space="preserve">
        <w:t> </w:t>
      </w:r>
      <w:r>
        <w:t xml:space="preserve">Yeas 121,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915 was passed by the Senate, with amendments, on May 24, 2023, by the following vote:</w:t>
      </w:r>
      <w:r xml:space="preserve">
        <w:t> </w:t>
      </w:r>
      <w:r xml:space="preserve">
        <w:t> </w:t>
      </w:r>
      <w:r>
        <w:t xml:space="preserve">Yeas 28, Nays 3; at the request of the House, the Senate appointed a conference committee to consider the differences between the two houses; and that the Senate adopted the conference committee report on H.B. No. 915 on May 28, 2023,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