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88R2573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928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asset forfeiture proceedings under the Code of Criminal Procedure.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59.05(d),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A final conviction for an underlying offense is </w:t>
      </w:r>
      <w:r>
        <w:rPr>
          <w:u w:val="single"/>
        </w:rPr>
        <w:t xml:space="preserve">required</w:t>
      </w:r>
      <w:r>
        <w:t xml:space="preserve"> [</w:t>
      </w:r>
      <w:r>
        <w:rPr>
          <w:strike/>
        </w:rPr>
        <w:t xml:space="preserve">not a requirement</w:t>
      </w:r>
      <w:r>
        <w:t xml:space="preserve">] for forfeiture under this chapter. </w:t>
      </w:r>
      <w:r>
        <w:rPr>
          <w:u w:val="single"/>
        </w:rPr>
        <w:t xml:space="preserve">The court shall dismiss a forfeiture proceeding on proof</w:t>
      </w:r>
      <w:r>
        <w:t xml:space="preserve"> [</w:t>
      </w:r>
      <w:r>
        <w:rPr>
          <w:strike/>
        </w:rPr>
        <w:t xml:space="preserve">An owner or interest holder may present evidence</w:t>
      </w:r>
      <w:r>
        <w:t xml:space="preserve">] of a dismissal or acquittal of </w:t>
      </w:r>
      <w:r>
        <w:rPr>
          <w:u w:val="single"/>
        </w:rPr>
        <w:t xml:space="preserve">the</w:t>
      </w:r>
      <w:r>
        <w:t xml:space="preserve"> [</w:t>
      </w:r>
      <w:r>
        <w:rPr>
          <w:strike/>
        </w:rPr>
        <w:t xml:space="preserve">an</w:t>
      </w:r>
      <w:r>
        <w:t xml:space="preserve">] underlying offense </w:t>
      </w:r>
      <w:r>
        <w:rPr>
          <w:u w:val="single"/>
        </w:rPr>
        <w:t xml:space="preserve">regardless of whether the owner or interest holder has met any requirements under the Texas Rules of Civil Procedure in the forfeiture proceeding, including answering the state's civil complaint</w:t>
      </w:r>
      <w:r>
        <w:t xml:space="preserve"> </w:t>
      </w:r>
      <w:r>
        <w:t xml:space="preserve">[</w:t>
      </w:r>
      <w:r>
        <w:rPr>
          <w:strike/>
        </w:rPr>
        <w:t xml:space="preserve">in a forfeiture proceeding, and evidence of an acquittal raises a presumption that the property or interest that is the subject of the hearing is nonforfeitable.  This presumption can be rebutted by evidence that the owner or interest holder knew or should have known that the property was contraband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property subject to forfeiture on the basis of an offense committed on or after the effective date of this Act.  Property subject to forfeiture on the basis of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