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88R2643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of intent to obtain a permit from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5.552, Water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In addition to providing notice under Subsection (b)(1), the applicant shall</w:t>
      </w:r>
      <w:r>
        <w:rPr>
          <w:u w:val="single"/>
        </w:rPr>
        <w:t xml:space="preserve">, not later than the 30th day after the date the commission determines the application to be administratively complete: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site of the facility or proposed facility, place a sign stating: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an application for a permit for a facility at the site has been filed;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of and contact information for the applicant;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proposed site use;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manner in which the applicant may be contacted for further information; and</w:t>
      </w:r>
    </w:p>
    <w:p w:rsidR="003F3435" w:rsidRDefault="0032493E">
      <w:pPr>
        <w:spacing w:line="480" w:lineRule="auto"/>
        <w:ind w:firstLine="1440"/>
        <w:jc w:val="both"/>
      </w:pPr>
      <w:r>
        <w:rPr>
          <w:u w:val="single"/>
        </w:rPr>
        <w:t xml:space="preserve">(2)</w:t>
      </w:r>
      <w:r xml:space="preserve">
        <w:t> </w:t>
      </w:r>
      <w:r xml:space="preserve">
        <w:t> </w:t>
      </w:r>
      <w:r>
        <w:t xml:space="preserve">comply with any applicable public notice requirements under Chapters 26 and 27 of this code, Chapter 361, Health and Safety Code, and rules adopted under those chapters.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sign required by Subsection (d)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dimensions not smaller than 18 inches by 28 inches;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consist of dark letters on a</w:t>
      </w:r>
      <w:r>
        <w:rPr>
          <w:u w:val="single"/>
        </w:rPr>
        <w:t xml:space="preserve"> </w:t>
      </w:r>
      <w:r>
        <w:rPr>
          <w:u w:val="single"/>
        </w:rPr>
        <w:t xml:space="preserve">white background;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consist of lettering: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1.5 inches in height;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block capital letters.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that is filed with the Texas Commission on Environmental Quality on or after the effective date of this Act.  An application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