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88R2973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voter registration, including electronic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12.006(f), Election Code, is amended to read as follows:</w:t>
      </w:r>
    </w:p>
    <w:p w:rsidR="003F3435" w:rsidRDefault="0032493E">
      <w:pPr>
        <w:spacing w:line="480" w:lineRule="auto"/>
        <w:ind w:firstLine="720"/>
        <w:jc w:val="both"/>
      </w:pPr>
      <w:r>
        <w:t xml:space="preserve">(f)</w:t>
      </w:r>
      <w:r xml:space="preserve">
        <w:t> </w:t>
      </w:r>
      <w:r xml:space="preserve">
        <w:t> </w:t>
      </w:r>
      <w:r>
        <w:t xml:space="preserve">A regular deputy registrar may not assist in the registration of voters until the deputy registrar has completed training developed under Section </w:t>
      </w:r>
      <w:r>
        <w:rPr>
          <w:u w:val="single"/>
        </w:rPr>
        <w:t xml:space="preserve">12.007</w:t>
      </w:r>
      <w:r>
        <w:t xml:space="preserve"> [</w:t>
      </w:r>
      <w:r>
        <w:rPr>
          <w:strike/>
        </w:rPr>
        <w:t xml:space="preserve">13.047</w:t>
      </w:r>
      <w:r>
        <w:t xml:space="preserve">].  At the time of appointment, the voter registrar shall provide information about the times and places at which training is offered.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implement a program to allow a person who has a valid state-issued driver's license or personal identification card to complete a voter registration application over the Internet from an official state website.  The secretary of state may develop an Internet website for this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signature on the applicant's driver's license or personal identification card for voter registration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the information required under Section 13.002(c);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audit number and date of issuance of the applicant's Texas driver's license or personal identification card issued by the Department of Public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 person submits an application under this section, the secretary of state shall compare the information provided by the applicant against Department of Public Safety records.  If any information submitted by an applicant does not match Department of Public Safety records, the secretary shall reject the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 person submits an application under this section, the Internet Protocol address of the device used to submit the application shall be recorded and included with the applicant's application file under Section 13.101 or 13.102, as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completed online application and information from the Department of Public Safety, including all copies of the applicant's digital signature on record, shall be provided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voter registrar for the county where the applicant currently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secretary of state for the statewide computerized voter registration list under Section 18.061.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application submitted electronically under this section is considered for all purposes as an application submitted by mail under this title.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13.047, Election Code, is transferred to Subchapter A, Chapter 12, Election Code, and redesignated as Section 12.007, Election Code, to read as follows:</w:t>
      </w:r>
    </w:p>
    <w:p w:rsidR="003F3435" w:rsidRDefault="0032493E">
      <w:pPr>
        <w:spacing w:line="480" w:lineRule="auto"/>
        <w:ind w:firstLine="720"/>
        <w:jc w:val="both"/>
      </w:pPr>
      <w:r>
        <w:t xml:space="preserve">Sec.</w:t>
      </w:r>
      <w:r xml:space="preserve">
        <w:t> </w:t>
      </w:r>
      <w:r>
        <w:rPr>
          <w:u w:val="single"/>
        </w:rPr>
        <w:t xml:space="preserve">12.007</w:t>
      </w:r>
      <w:r xml:space="preserve">
        <w:t> </w:t>
      </w:r>
      <w:r>
        <w:t xml:space="preserve">[</w:t>
      </w:r>
      <w:r>
        <w:rPr>
          <w:strike/>
        </w:rPr>
        <w:t xml:space="preserve">13.047</w:t>
      </w:r>
      <w:r>
        <w:t xml:space="preserve">].</w:t>
      </w:r>
      <w:r xml:space="preserve">
        <w:t> </w:t>
      </w:r>
      <w:r xml:space="preserve">
        <w:t> </w:t>
      </w:r>
      <w:r>
        <w:t xml:space="preserve">TRAINING STANDARDS FOR DEPUTY REGISTRARS.  (a)  The secretary of state shall:</w:t>
      </w:r>
    </w:p>
    <w:p w:rsidR="003F3435" w:rsidRDefault="0032493E">
      <w:pPr>
        <w:spacing w:line="480" w:lineRule="auto"/>
        <w:ind w:firstLine="1440"/>
        <w:jc w:val="both"/>
      </w:pPr>
      <w:r>
        <w:t xml:space="preserve">(1)</w:t>
      </w:r>
      <w:r xml:space="preserve">
        <w:t> </w:t>
      </w:r>
      <w:r xml:space="preserve">
        <w:t> </w:t>
      </w:r>
      <w:r>
        <w:t xml:space="preserve">adopt standards of training in election law relating to the registration of voters;</w:t>
      </w:r>
    </w:p>
    <w:p w:rsidR="003F3435" w:rsidRDefault="0032493E">
      <w:pPr>
        <w:spacing w:line="480" w:lineRule="auto"/>
        <w:ind w:firstLine="1440"/>
        <w:jc w:val="both"/>
      </w:pPr>
      <w:r>
        <w:t xml:space="preserve">(2)</w:t>
      </w:r>
      <w:r xml:space="preserve">
        <w:t> </w:t>
      </w:r>
      <w:r xml:space="preserve">
        <w:t> </w:t>
      </w:r>
      <w:r>
        <w:t xml:space="preserve">develop materials for a standardized curriculum for that training; and</w:t>
      </w:r>
    </w:p>
    <w:p w:rsidR="003F3435" w:rsidRDefault="0032493E">
      <w:pPr>
        <w:spacing w:line="480" w:lineRule="auto"/>
        <w:ind w:firstLine="1440"/>
        <w:jc w:val="both"/>
      </w:pPr>
      <w:r>
        <w:t xml:space="preserve">(3)</w:t>
      </w:r>
      <w:r xml:space="preserve">
        <w:t> </w:t>
      </w:r>
      <w:r xml:space="preserve">
        <w:t> </w:t>
      </w:r>
      <w:r>
        <w:t xml:space="preserve">distribute the materials as necessary to each county voter registrar.</w:t>
      </w:r>
    </w:p>
    <w:p w:rsidR="003F3435" w:rsidRDefault="0032493E">
      <w:pPr>
        <w:spacing w:line="480" w:lineRule="auto"/>
        <w:ind w:firstLine="720"/>
        <w:jc w:val="both"/>
      </w:pPr>
      <w:r>
        <w:t xml:space="preserve">(b)</w:t>
      </w:r>
      <w:r xml:space="preserve">
        <w:t> </w:t>
      </w:r>
      <w:r xml:space="preserve">
        <w:t> </w:t>
      </w:r>
      <w:r>
        <w:t xml:space="preserve">The training standards may include the passage of an examination at the end of a training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20.037(c), Election Code, is amended to read as follows:</w:t>
      </w:r>
    </w:p>
    <w:p w:rsidR="003F3435" w:rsidRDefault="0032493E">
      <w:pPr>
        <w:spacing w:line="480" w:lineRule="auto"/>
        <w:ind w:firstLine="720"/>
        <w:jc w:val="both"/>
      </w:pPr>
      <w:r>
        <w:t xml:space="preserve">(c)</w:t>
      </w:r>
      <w:r xml:space="preserve">
        <w:t> </w:t>
      </w:r>
      <w:r xml:space="preserve">
        <w:t> </w:t>
      </w:r>
      <w:r>
        <w:t xml:space="preserve">An application form delivered by mail must be accompanied by a notice informing the applicant that the application may be submitted in person or by mail to the voter registrar of the county in which the applicant resides [</w:t>
      </w:r>
      <w:r>
        <w:rPr>
          <w:strike/>
        </w:rPr>
        <w:t xml:space="preserve">or in person to a volunteer deputy registrar for delivery to the voter registrar of the county in which the applicant resides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20.122(c),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application forms must be accompanied by a notice informing the licensees that the applications may be submitted in person or by mail to the voter registrar of the county in which they reside [</w:t>
      </w:r>
      <w:r>
        <w:rPr>
          <w:strike/>
        </w:rPr>
        <w:t xml:space="preserve">or in person to a volunteer deputy registrar for delivery to the voter registrar of the county in which they reside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31.040(b),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or the administrator may require any or all of the administrator's deputies[</w:t>
      </w:r>
      <w:r>
        <w:rPr>
          <w:strike/>
        </w:rPr>
        <w:t xml:space="preserve">, other than unpaid volunteer deputy registrars,</w:t>
      </w:r>
      <w:r>
        <w:t xml:space="preserve">] to give a bond similar to that required of the administrator in an amount not exceeding the amount of the administrator's bond.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31.161(b),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joint elections commission or the joint elections administrator may require any or all of the administrator's deputies[</w:t>
      </w:r>
      <w:r>
        <w:rPr>
          <w:strike/>
        </w:rPr>
        <w:t xml:space="preserve">, other than unpaid volunteer deputy registrars,</w:t>
      </w:r>
      <w:r>
        <w:t xml:space="preserve">] to give a bond similar to that required of the administrator in an amount not exceeding the amount of the administrator's bond.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the heading to Subchapter B, Chapter 13; and</w:t>
      </w:r>
    </w:p>
    <w:p w:rsidR="003F3435" w:rsidRDefault="0032493E">
      <w:pPr>
        <w:spacing w:line="480" w:lineRule="auto"/>
        <w:ind w:firstLine="1440"/>
        <w:jc w:val="both"/>
      </w:pPr>
      <w:r>
        <w:t xml:space="preserve">(2)</w:t>
      </w:r>
      <w:r xml:space="preserve">
        <w:t> </w:t>
      </w:r>
      <w:r xml:space="preserve">
        <w:t> </w:t>
      </w:r>
      <w:r>
        <w:t xml:space="preserve">Sections 13.031, 13.032, 13.033, 13.034, 13.035, 13.036, 13.037, 13.038, 13.039, 13.040, 13.041, 13.042, 13.043, 13.044, 13.045, 13.046, and 13.048.</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